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4EFCD" w14:textId="77777777" w:rsidR="00D921E2" w:rsidRPr="00516784" w:rsidRDefault="00D921E2" w:rsidP="00D921E2">
      <w:pPr>
        <w:jc w:val="center"/>
        <w:rPr>
          <w:rFonts w:ascii="Times New Roman" w:hAnsi="Times New Roman" w:cs="Times New Roman"/>
          <w:b/>
        </w:rPr>
      </w:pPr>
      <w:r w:rsidRPr="00516784">
        <w:rPr>
          <w:rFonts w:ascii="Times New Roman" w:hAnsi="Times New Roman" w:cs="Times New Roman"/>
          <w:b/>
        </w:rPr>
        <w:t xml:space="preserve">An ACLU-PA Guide to Probation/Parole Revocation Hearings for </w:t>
      </w:r>
    </w:p>
    <w:p w14:paraId="524057E6" w14:textId="77777777" w:rsidR="00D921E2" w:rsidRPr="00516784" w:rsidRDefault="00D921E2" w:rsidP="00D921E2">
      <w:pPr>
        <w:jc w:val="center"/>
        <w:rPr>
          <w:rFonts w:ascii="Times New Roman" w:hAnsi="Times New Roman" w:cs="Times New Roman"/>
          <w:b/>
        </w:rPr>
      </w:pPr>
      <w:r w:rsidRPr="00516784">
        <w:rPr>
          <w:rFonts w:ascii="Times New Roman" w:hAnsi="Times New Roman" w:cs="Times New Roman"/>
          <w:b/>
        </w:rPr>
        <w:t>Nonpayment of Fines, Costs, or Restitution</w:t>
      </w:r>
    </w:p>
    <w:p w14:paraId="0978F6E3" w14:textId="77777777" w:rsidR="00D921E2" w:rsidRPr="00516784" w:rsidRDefault="00D921E2" w:rsidP="00D921E2">
      <w:pPr>
        <w:rPr>
          <w:rFonts w:ascii="Times New Roman" w:hAnsi="Times New Roman" w:cs="Times New Roman"/>
          <w:b/>
        </w:rPr>
      </w:pPr>
    </w:p>
    <w:p w14:paraId="00A41E43" w14:textId="1757D720" w:rsidR="00C80A79" w:rsidRPr="00516784" w:rsidRDefault="00D921E2" w:rsidP="00D921E2">
      <w:pPr>
        <w:rPr>
          <w:rFonts w:ascii="Times New Roman" w:hAnsi="Times New Roman" w:cs="Times New Roman"/>
        </w:rPr>
      </w:pPr>
      <w:r w:rsidRPr="00516784">
        <w:rPr>
          <w:rFonts w:ascii="Times New Roman" w:hAnsi="Times New Roman" w:cs="Times New Roman"/>
        </w:rPr>
        <w:t xml:space="preserve">Some probation departments </w:t>
      </w:r>
      <w:r w:rsidR="006A596A" w:rsidRPr="00516784">
        <w:rPr>
          <w:rFonts w:ascii="Times New Roman" w:hAnsi="Times New Roman" w:cs="Times New Roman"/>
        </w:rPr>
        <w:t>file violations of probation/parole against defendants who have not paid fines, costs, and restitution.</w:t>
      </w:r>
      <w:r w:rsidR="00597F07" w:rsidRPr="00516784">
        <w:rPr>
          <w:rFonts w:ascii="Times New Roman" w:hAnsi="Times New Roman" w:cs="Times New Roman"/>
        </w:rPr>
        <w:t xml:space="preserve"> T</w:t>
      </w:r>
      <w:r w:rsidR="006A596A" w:rsidRPr="00516784">
        <w:rPr>
          <w:rFonts w:ascii="Times New Roman" w:hAnsi="Times New Roman" w:cs="Times New Roman"/>
        </w:rPr>
        <w:t>he Commonwealth bears the burden of showing that the defe</w:t>
      </w:r>
      <w:r w:rsidR="00597F07" w:rsidRPr="00516784">
        <w:rPr>
          <w:rFonts w:ascii="Times New Roman" w:hAnsi="Times New Roman" w:cs="Times New Roman"/>
        </w:rPr>
        <w:t>ndant “willfully” failed to pay, and without a court finding that the defendant willfully failed to pay,</w:t>
      </w:r>
      <w:r w:rsidR="0066418B" w:rsidRPr="00516784">
        <w:rPr>
          <w:rFonts w:ascii="Times New Roman" w:hAnsi="Times New Roman" w:cs="Times New Roman"/>
        </w:rPr>
        <w:t xml:space="preserve"> the defendant has not violated the terms of supervision.</w:t>
      </w:r>
      <w:r w:rsidR="006A596A" w:rsidRPr="00516784">
        <w:rPr>
          <w:rFonts w:ascii="Times New Roman" w:hAnsi="Times New Roman" w:cs="Times New Roman"/>
        </w:rPr>
        <w:t xml:space="preserve"> We intend this Guide to help attorneys and judges comply with the legal requirements underlying these </w:t>
      </w:r>
      <w:r w:rsidR="006A596A" w:rsidRPr="00516784">
        <w:rPr>
          <w:rFonts w:ascii="Times New Roman" w:hAnsi="Times New Roman" w:cs="Times New Roman"/>
          <w:i/>
        </w:rPr>
        <w:t>Gagnon II</w:t>
      </w:r>
      <w:r w:rsidR="006A596A" w:rsidRPr="00516784">
        <w:rPr>
          <w:rFonts w:ascii="Times New Roman" w:hAnsi="Times New Roman" w:cs="Times New Roman"/>
        </w:rPr>
        <w:t xml:space="preserve"> hearings for nonpayment.</w:t>
      </w:r>
      <w:r w:rsidR="0066418B" w:rsidRPr="00516784">
        <w:rPr>
          <w:rStyle w:val="FootnoteReference"/>
          <w:rFonts w:ascii="Times New Roman" w:hAnsi="Times New Roman" w:cs="Times New Roman"/>
        </w:rPr>
        <w:footnoteReference w:id="1"/>
      </w:r>
      <w:r w:rsidR="006A596A" w:rsidRPr="00516784">
        <w:rPr>
          <w:rFonts w:ascii="Times New Roman" w:hAnsi="Times New Roman" w:cs="Times New Roman"/>
        </w:rPr>
        <w:t xml:space="preserve"> </w:t>
      </w:r>
    </w:p>
    <w:p w14:paraId="5F339DF6" w14:textId="77777777" w:rsidR="00D921E2" w:rsidRPr="00516784" w:rsidRDefault="00D921E2" w:rsidP="00D921E2">
      <w:pPr>
        <w:rPr>
          <w:rFonts w:ascii="Times New Roman" w:hAnsi="Times New Roman" w:cs="Times New Roman"/>
        </w:rPr>
      </w:pPr>
    </w:p>
    <w:p w14:paraId="5A3FC351" w14:textId="3E71327E" w:rsidR="00D921E2" w:rsidRPr="00516784" w:rsidRDefault="00877F5D" w:rsidP="00D921E2">
      <w:pPr>
        <w:rPr>
          <w:rFonts w:ascii="Times New Roman" w:hAnsi="Times New Roman" w:cs="Times New Roman"/>
          <w:b/>
          <w:u w:val="single"/>
        </w:rPr>
      </w:pPr>
      <w:r w:rsidRPr="00516784">
        <w:rPr>
          <w:rFonts w:ascii="Times New Roman" w:hAnsi="Times New Roman" w:cs="Times New Roman"/>
          <w:b/>
          <w:u w:val="single"/>
        </w:rPr>
        <w:t xml:space="preserve">Paying fines, </w:t>
      </w:r>
      <w:r w:rsidR="00414F34" w:rsidRPr="00516784">
        <w:rPr>
          <w:rFonts w:ascii="Times New Roman" w:hAnsi="Times New Roman" w:cs="Times New Roman"/>
          <w:b/>
          <w:u w:val="single"/>
        </w:rPr>
        <w:t>restitution</w:t>
      </w:r>
      <w:r w:rsidRPr="00516784">
        <w:rPr>
          <w:rFonts w:ascii="Times New Roman" w:hAnsi="Times New Roman" w:cs="Times New Roman"/>
          <w:b/>
          <w:u w:val="single"/>
        </w:rPr>
        <w:t>, and the costs of supervision</w:t>
      </w:r>
      <w:r w:rsidR="00414F34" w:rsidRPr="00516784">
        <w:rPr>
          <w:rFonts w:ascii="Times New Roman" w:hAnsi="Times New Roman" w:cs="Times New Roman"/>
          <w:b/>
          <w:u w:val="single"/>
        </w:rPr>
        <w:t xml:space="preserve"> can be conditions of probation</w:t>
      </w:r>
      <w:r w:rsidR="00D603EC" w:rsidRPr="00516784">
        <w:rPr>
          <w:rFonts w:ascii="Times New Roman" w:hAnsi="Times New Roman" w:cs="Times New Roman"/>
          <w:b/>
          <w:u w:val="single"/>
        </w:rPr>
        <w:t>.</w:t>
      </w:r>
    </w:p>
    <w:p w14:paraId="5B34CD98" w14:textId="5B52F9F7" w:rsidR="00D921E2" w:rsidRPr="00516784" w:rsidRDefault="00D921E2" w:rsidP="00D921E2">
      <w:pPr>
        <w:rPr>
          <w:rFonts w:ascii="Times New Roman" w:hAnsi="Times New Roman" w:cs="Times New Roman"/>
        </w:rPr>
      </w:pPr>
    </w:p>
    <w:p w14:paraId="091B361C" w14:textId="08AF6384" w:rsidR="00C35B88" w:rsidRPr="00516784" w:rsidRDefault="00C35B88" w:rsidP="00C35B88">
      <w:pPr>
        <w:rPr>
          <w:rFonts w:ascii="Times New Roman" w:hAnsi="Times New Roman" w:cs="Times New Roman"/>
          <w:b/>
        </w:rPr>
      </w:pPr>
      <w:r w:rsidRPr="00516784">
        <w:rPr>
          <w:rFonts w:ascii="Times New Roman" w:hAnsi="Times New Roman" w:cs="Times New Roman"/>
          <w:b/>
        </w:rPr>
        <w:t xml:space="preserve">Fines: </w:t>
      </w:r>
      <w:r w:rsidR="00A57C27" w:rsidRPr="00516784">
        <w:rPr>
          <w:rFonts w:ascii="Times New Roman" w:hAnsi="Times New Roman" w:cs="Times New Roman"/>
        </w:rPr>
        <w:t>Paying a fine</w:t>
      </w:r>
      <w:r w:rsidR="0013548E" w:rsidRPr="00516784">
        <w:rPr>
          <w:rFonts w:ascii="Times New Roman" w:hAnsi="Times New Roman" w:cs="Times New Roman"/>
        </w:rPr>
        <w:t xml:space="preserve"> imposed as part of the sentence</w:t>
      </w:r>
      <w:r w:rsidR="00A57C27" w:rsidRPr="00516784">
        <w:rPr>
          <w:rFonts w:ascii="Times New Roman" w:hAnsi="Times New Roman" w:cs="Times New Roman"/>
        </w:rPr>
        <w:t xml:space="preserve"> can be a condition of probation.</w:t>
      </w:r>
      <w:r w:rsidR="009B4318" w:rsidRPr="00516784">
        <w:rPr>
          <w:rStyle w:val="FootnoteReference"/>
          <w:rFonts w:ascii="Times New Roman" w:hAnsi="Times New Roman" w:cs="Times New Roman"/>
        </w:rPr>
        <w:footnoteReference w:id="2"/>
      </w:r>
      <w:r w:rsidR="00A57C27" w:rsidRPr="00516784">
        <w:rPr>
          <w:rFonts w:ascii="Times New Roman" w:hAnsi="Times New Roman" w:cs="Times New Roman"/>
        </w:rPr>
        <w:t xml:space="preserve"> </w:t>
      </w:r>
      <w:r w:rsidR="009B4318" w:rsidRPr="00516784">
        <w:rPr>
          <w:rFonts w:ascii="Times New Roman" w:hAnsi="Times New Roman" w:cs="Times New Roman"/>
        </w:rPr>
        <w:t>Because the fine is imposed as part of the sentence</w:t>
      </w:r>
      <w:r w:rsidR="007E1741" w:rsidRPr="00516784">
        <w:rPr>
          <w:rFonts w:ascii="Times New Roman" w:hAnsi="Times New Roman" w:cs="Times New Roman"/>
        </w:rPr>
        <w:t xml:space="preserve"> (rather than </w:t>
      </w:r>
      <w:r w:rsidR="0088785D" w:rsidRPr="00516784">
        <w:rPr>
          <w:rFonts w:ascii="Times New Roman" w:hAnsi="Times New Roman" w:cs="Times New Roman"/>
        </w:rPr>
        <w:t>solely</w:t>
      </w:r>
      <w:r w:rsidR="007E1741" w:rsidRPr="00516784">
        <w:rPr>
          <w:rFonts w:ascii="Times New Roman" w:hAnsi="Times New Roman" w:cs="Times New Roman"/>
        </w:rPr>
        <w:t xml:space="preserve"> as a condition of probation)</w:t>
      </w:r>
      <w:r w:rsidR="009B4318" w:rsidRPr="00516784">
        <w:rPr>
          <w:rFonts w:ascii="Times New Roman" w:hAnsi="Times New Roman" w:cs="Times New Roman"/>
        </w:rPr>
        <w:t xml:space="preserve">, it must be paid even if the defendant has completed probation. </w:t>
      </w:r>
    </w:p>
    <w:p w14:paraId="7B20365A" w14:textId="77777777" w:rsidR="00C35B88" w:rsidRPr="00516784" w:rsidRDefault="00C35B88" w:rsidP="00C35B88">
      <w:pPr>
        <w:rPr>
          <w:rFonts w:ascii="Times New Roman" w:hAnsi="Times New Roman" w:cs="Times New Roman"/>
          <w:b/>
        </w:rPr>
      </w:pPr>
    </w:p>
    <w:p w14:paraId="5E9E06FC" w14:textId="474ADB30" w:rsidR="00C35B88" w:rsidRPr="00516784" w:rsidRDefault="00C35B88" w:rsidP="00C35B88">
      <w:pPr>
        <w:rPr>
          <w:rFonts w:ascii="Times New Roman" w:hAnsi="Times New Roman" w:cs="Times New Roman"/>
        </w:rPr>
      </w:pPr>
      <w:r w:rsidRPr="00516784">
        <w:rPr>
          <w:rFonts w:ascii="Times New Roman" w:hAnsi="Times New Roman" w:cs="Times New Roman"/>
          <w:b/>
        </w:rPr>
        <w:t>Restitution:</w:t>
      </w:r>
      <w:r w:rsidR="0036084E">
        <w:rPr>
          <w:rFonts w:ascii="Times New Roman" w:hAnsi="Times New Roman" w:cs="Times New Roman"/>
          <w:b/>
        </w:rPr>
        <w:t xml:space="preserve"> </w:t>
      </w:r>
      <w:r w:rsidR="0036084E">
        <w:rPr>
          <w:rFonts w:ascii="Times New Roman" w:hAnsi="Times New Roman" w:cs="Times New Roman"/>
        </w:rPr>
        <w:t xml:space="preserve">There are two types of restitution: restitution that is part of the sentence under </w:t>
      </w:r>
      <w:r w:rsidR="0036084E" w:rsidRPr="00516784">
        <w:rPr>
          <w:rFonts w:ascii="Times New Roman" w:hAnsi="Times New Roman" w:cs="Times New Roman"/>
        </w:rPr>
        <w:t>18 Pa. Cons. Stat. § 1106(a)</w:t>
      </w:r>
      <w:r w:rsidR="00664845">
        <w:rPr>
          <w:rFonts w:ascii="Times New Roman" w:hAnsi="Times New Roman" w:cs="Times New Roman"/>
        </w:rPr>
        <w:t>,</w:t>
      </w:r>
      <w:r w:rsidR="0036084E">
        <w:rPr>
          <w:rFonts w:ascii="Times New Roman" w:hAnsi="Times New Roman" w:cs="Times New Roman"/>
        </w:rPr>
        <w:t xml:space="preserve"> and restitution that is not part of the sentence but is instead only a condition of probation under </w:t>
      </w:r>
      <w:r w:rsidR="0036084E" w:rsidRPr="00516784">
        <w:rPr>
          <w:rFonts w:ascii="Times New Roman" w:hAnsi="Times New Roman" w:cs="Times New Roman"/>
        </w:rPr>
        <w:t>42 Pa. Cons. Stat. § 9754(c)(11)</w:t>
      </w:r>
      <w:r w:rsidR="0036084E">
        <w:rPr>
          <w:rFonts w:ascii="Times New Roman" w:hAnsi="Times New Roman" w:cs="Times New Roman"/>
        </w:rPr>
        <w:t xml:space="preserve">. A condition of probation can require a defendant to pay either type of restitution. However, restitution that is </w:t>
      </w:r>
      <w:r w:rsidR="00A428D5" w:rsidRPr="00516784">
        <w:rPr>
          <w:rFonts w:ascii="Times New Roman" w:hAnsi="Times New Roman" w:cs="Times New Roman"/>
        </w:rPr>
        <w:t xml:space="preserve">imposed </w:t>
      </w:r>
      <w:r w:rsidR="00A428D5" w:rsidRPr="00516784">
        <w:rPr>
          <w:rFonts w:ascii="Times New Roman" w:hAnsi="Times New Roman" w:cs="Times New Roman"/>
          <w:i/>
        </w:rPr>
        <w:t>solely</w:t>
      </w:r>
      <w:r w:rsidR="00A428D5" w:rsidRPr="00516784">
        <w:rPr>
          <w:rFonts w:ascii="Times New Roman" w:hAnsi="Times New Roman" w:cs="Times New Roman"/>
        </w:rPr>
        <w:t xml:space="preserve"> as a condition of probation</w:t>
      </w:r>
      <w:r w:rsidR="0036084E">
        <w:rPr>
          <w:rFonts w:ascii="Times New Roman" w:hAnsi="Times New Roman" w:cs="Times New Roman"/>
        </w:rPr>
        <w:t xml:space="preserve"> under</w:t>
      </w:r>
      <w:r w:rsidR="00A428D5" w:rsidRPr="00516784">
        <w:rPr>
          <w:rFonts w:ascii="Times New Roman" w:hAnsi="Times New Roman" w:cs="Times New Roman"/>
        </w:rPr>
        <w:t xml:space="preserve"> § 9754(c)(11)</w:t>
      </w:r>
      <w:r w:rsidR="00A57C27" w:rsidRPr="00516784">
        <w:rPr>
          <w:rFonts w:ascii="Times New Roman" w:hAnsi="Times New Roman" w:cs="Times New Roman"/>
        </w:rPr>
        <w:t xml:space="preserve"> (as opposed to as both a condition of probation and as part of the sentence)</w:t>
      </w:r>
      <w:r w:rsidRPr="00516784">
        <w:rPr>
          <w:rFonts w:ascii="Times New Roman" w:hAnsi="Times New Roman" w:cs="Times New Roman"/>
        </w:rPr>
        <w:t xml:space="preserve"> “expires upon the end of the term of probation, even if the amount of restitution ordered has not been paid.”</w:t>
      </w:r>
      <w:r w:rsidRPr="00516784">
        <w:rPr>
          <w:rStyle w:val="FootnoteReference"/>
          <w:rFonts w:ascii="Times New Roman" w:hAnsi="Times New Roman" w:cs="Times New Roman"/>
        </w:rPr>
        <w:footnoteReference w:id="3"/>
      </w:r>
      <w:r w:rsidRPr="00516784">
        <w:rPr>
          <w:rFonts w:ascii="Times New Roman" w:hAnsi="Times New Roman" w:cs="Times New Roman"/>
        </w:rPr>
        <w:t xml:space="preserve"> By contrast, restitution that is ordered as part of the sentence under § 1106(a) is part of the sentence and does not expire at the end of the defendant’s probation.</w:t>
      </w:r>
      <w:r w:rsidRPr="00516784">
        <w:rPr>
          <w:rStyle w:val="FootnoteReference"/>
          <w:rFonts w:ascii="Times New Roman" w:hAnsi="Times New Roman" w:cs="Times New Roman"/>
        </w:rPr>
        <w:footnoteReference w:id="4"/>
      </w:r>
      <w:r w:rsidR="002D2817">
        <w:rPr>
          <w:rFonts w:ascii="Times New Roman" w:hAnsi="Times New Roman" w:cs="Times New Roman"/>
        </w:rPr>
        <w:t xml:space="preserve"> At sentencing, counsel should ask the judge to clarify which type of restitution the court is imposing.</w:t>
      </w:r>
    </w:p>
    <w:p w14:paraId="69AC99FB" w14:textId="77777777" w:rsidR="00C35B88" w:rsidRPr="00516784" w:rsidRDefault="00C35B88" w:rsidP="00D921E2">
      <w:pPr>
        <w:rPr>
          <w:rFonts w:ascii="Times New Roman" w:hAnsi="Times New Roman" w:cs="Times New Roman"/>
          <w:b/>
        </w:rPr>
      </w:pPr>
    </w:p>
    <w:p w14:paraId="13C031E3" w14:textId="3B0B77AF" w:rsidR="00D921E2" w:rsidRDefault="00657ED0" w:rsidP="00D921E2">
      <w:pPr>
        <w:rPr>
          <w:rFonts w:ascii="Times New Roman" w:hAnsi="Times New Roman" w:cs="Times New Roman"/>
        </w:rPr>
      </w:pPr>
      <w:r w:rsidRPr="00516784">
        <w:rPr>
          <w:rFonts w:ascii="Times New Roman" w:hAnsi="Times New Roman" w:cs="Times New Roman"/>
          <w:b/>
        </w:rPr>
        <w:t>Costs</w:t>
      </w:r>
      <w:r w:rsidRPr="00516784">
        <w:rPr>
          <w:rFonts w:ascii="Times New Roman" w:hAnsi="Times New Roman" w:cs="Times New Roman"/>
        </w:rPr>
        <w:t>:</w:t>
      </w:r>
      <w:r w:rsidR="00877F5D" w:rsidRPr="00516784">
        <w:rPr>
          <w:rFonts w:ascii="Times New Roman" w:hAnsi="Times New Roman" w:cs="Times New Roman"/>
        </w:rPr>
        <w:t xml:space="preserve"> </w:t>
      </w:r>
      <w:r w:rsidR="007A3E14" w:rsidRPr="007A3E14">
        <w:rPr>
          <w:rFonts w:ascii="Times New Roman" w:hAnsi="Times New Roman" w:cs="Times New Roman"/>
          <w:u w:val="single"/>
        </w:rPr>
        <w:t xml:space="preserve">A </w:t>
      </w:r>
      <w:r w:rsidR="002C6D14" w:rsidRPr="00516784">
        <w:rPr>
          <w:rFonts w:ascii="Times New Roman" w:hAnsi="Times New Roman" w:cs="Times New Roman"/>
          <w:u w:val="single"/>
        </w:rPr>
        <w:t>court cannot require that a defendant pay costs as a condition of probation</w:t>
      </w:r>
      <w:r w:rsidR="002C6D14" w:rsidRPr="00516784">
        <w:rPr>
          <w:rFonts w:ascii="Times New Roman" w:hAnsi="Times New Roman" w:cs="Times New Roman"/>
        </w:rPr>
        <w:t xml:space="preserve">, and a defendant therefore does not violate the terms of his probation due to nonpayment of court costs. </w:t>
      </w:r>
      <w:r w:rsidR="006D594C" w:rsidRPr="00516784">
        <w:rPr>
          <w:rFonts w:ascii="Times New Roman" w:hAnsi="Times New Roman" w:cs="Times New Roman"/>
        </w:rPr>
        <w:t>P</w:t>
      </w:r>
      <w:r w:rsidR="00D921E2" w:rsidRPr="00516784">
        <w:rPr>
          <w:rFonts w:ascii="Times New Roman" w:hAnsi="Times New Roman" w:cs="Times New Roman"/>
        </w:rPr>
        <w:t xml:space="preserve">ayment of costs is </w:t>
      </w:r>
      <w:r w:rsidR="00D921E2" w:rsidRPr="00516784">
        <w:rPr>
          <w:rFonts w:ascii="Times New Roman" w:hAnsi="Times New Roman" w:cs="Times New Roman"/>
          <w:i/>
        </w:rPr>
        <w:t>not</w:t>
      </w:r>
      <w:r w:rsidR="00D921E2" w:rsidRPr="00516784">
        <w:rPr>
          <w:rFonts w:ascii="Times New Roman" w:hAnsi="Times New Roman" w:cs="Times New Roman"/>
        </w:rPr>
        <w:t xml:space="preserve"> a proper condition of probation</w:t>
      </w:r>
      <w:r w:rsidRPr="00516784">
        <w:rPr>
          <w:rFonts w:ascii="Times New Roman" w:hAnsi="Times New Roman" w:cs="Times New Roman"/>
        </w:rPr>
        <w:t xml:space="preserve"> because costs are “a mere incident to judgment” and “are not part of the criminal’s sentence.” As a result, an order to pay costs is “not ‘reasonably related to the rehabilitation of the defendant’” under </w:t>
      </w:r>
      <w:r w:rsidR="00414F34" w:rsidRPr="00516784">
        <w:rPr>
          <w:rFonts w:ascii="Times New Roman" w:hAnsi="Times New Roman" w:cs="Times New Roman"/>
        </w:rPr>
        <w:t>42 Pa. Cons. Stat. § 9754(c)</w:t>
      </w:r>
      <w:r w:rsidRPr="00516784">
        <w:rPr>
          <w:rFonts w:ascii="Times New Roman" w:hAnsi="Times New Roman" w:cs="Times New Roman"/>
        </w:rPr>
        <w:t>.</w:t>
      </w:r>
      <w:r w:rsidRPr="00516784">
        <w:rPr>
          <w:rStyle w:val="FootnoteReference"/>
          <w:rFonts w:ascii="Times New Roman" w:hAnsi="Times New Roman" w:cs="Times New Roman"/>
        </w:rPr>
        <w:footnoteReference w:id="5"/>
      </w:r>
      <w:r w:rsidR="00870C1A" w:rsidRPr="00516784">
        <w:rPr>
          <w:rFonts w:ascii="Times New Roman" w:hAnsi="Times New Roman" w:cs="Times New Roman"/>
        </w:rPr>
        <w:t xml:space="preserve"> </w:t>
      </w:r>
    </w:p>
    <w:p w14:paraId="41FB40B4" w14:textId="77777777" w:rsidR="007A3E14" w:rsidRDefault="007A3E14" w:rsidP="00D921E2">
      <w:pPr>
        <w:rPr>
          <w:rFonts w:ascii="Times New Roman" w:hAnsi="Times New Roman" w:cs="Times New Roman"/>
        </w:rPr>
      </w:pPr>
    </w:p>
    <w:p w14:paraId="5EEE01D8" w14:textId="77777777" w:rsidR="007A3E14" w:rsidRDefault="007A3E14" w:rsidP="00D921E2">
      <w:pPr>
        <w:rPr>
          <w:rFonts w:ascii="Times New Roman" w:hAnsi="Times New Roman" w:cs="Times New Roman"/>
        </w:rPr>
      </w:pPr>
    </w:p>
    <w:p w14:paraId="6BC9AE1B" w14:textId="77777777" w:rsidR="007A3E14" w:rsidRPr="00516784" w:rsidRDefault="007A3E14" w:rsidP="00D921E2">
      <w:pPr>
        <w:rPr>
          <w:rFonts w:ascii="Times New Roman" w:hAnsi="Times New Roman" w:cs="Times New Roman"/>
        </w:rPr>
      </w:pPr>
    </w:p>
    <w:p w14:paraId="78EA65DC" w14:textId="5352A66D" w:rsidR="006D594C" w:rsidRPr="00516784" w:rsidRDefault="006D594C" w:rsidP="00D921E2">
      <w:pPr>
        <w:rPr>
          <w:rFonts w:ascii="Times New Roman" w:hAnsi="Times New Roman" w:cs="Times New Roman"/>
        </w:rPr>
      </w:pPr>
    </w:p>
    <w:p w14:paraId="60580684" w14:textId="17AADEDF" w:rsidR="00870C1A" w:rsidRPr="00516784" w:rsidRDefault="00870C1A" w:rsidP="00D921E2">
      <w:pPr>
        <w:rPr>
          <w:rFonts w:ascii="Times New Roman" w:hAnsi="Times New Roman" w:cs="Times New Roman"/>
          <w:u w:val="single"/>
        </w:rPr>
      </w:pPr>
      <w:r w:rsidRPr="00516784">
        <w:rPr>
          <w:rFonts w:ascii="Times New Roman" w:hAnsi="Times New Roman" w:cs="Times New Roman"/>
          <w:b/>
          <w:u w:val="single"/>
        </w:rPr>
        <w:t>Violation</w:t>
      </w:r>
      <w:r w:rsidR="00D603EC" w:rsidRPr="00516784">
        <w:rPr>
          <w:rFonts w:ascii="Times New Roman" w:hAnsi="Times New Roman" w:cs="Times New Roman"/>
          <w:b/>
          <w:u w:val="single"/>
        </w:rPr>
        <w:t>s</w:t>
      </w:r>
      <w:r w:rsidRPr="00516784">
        <w:rPr>
          <w:rFonts w:ascii="Times New Roman" w:hAnsi="Times New Roman" w:cs="Times New Roman"/>
          <w:b/>
          <w:u w:val="single"/>
        </w:rPr>
        <w:t xml:space="preserve"> of p</w:t>
      </w:r>
      <w:r w:rsidR="00A514CB" w:rsidRPr="00516784">
        <w:rPr>
          <w:rFonts w:ascii="Times New Roman" w:hAnsi="Times New Roman" w:cs="Times New Roman"/>
          <w:b/>
          <w:u w:val="single"/>
        </w:rPr>
        <w:t>robation/parole hearing for non</w:t>
      </w:r>
      <w:r w:rsidRPr="00516784">
        <w:rPr>
          <w:rFonts w:ascii="Times New Roman" w:hAnsi="Times New Roman" w:cs="Times New Roman"/>
          <w:b/>
          <w:u w:val="single"/>
        </w:rPr>
        <w:t>payment</w:t>
      </w:r>
      <w:r w:rsidR="00D603EC" w:rsidRPr="00516784">
        <w:rPr>
          <w:rFonts w:ascii="Times New Roman" w:hAnsi="Times New Roman" w:cs="Times New Roman"/>
          <w:b/>
          <w:u w:val="single"/>
        </w:rPr>
        <w:t>.</w:t>
      </w:r>
    </w:p>
    <w:p w14:paraId="0D18A926" w14:textId="77777777" w:rsidR="00870C1A" w:rsidRPr="00516784" w:rsidRDefault="00870C1A" w:rsidP="00D921E2">
      <w:pPr>
        <w:rPr>
          <w:rFonts w:ascii="Times New Roman" w:hAnsi="Times New Roman" w:cs="Times New Roman"/>
          <w:u w:val="single"/>
        </w:rPr>
      </w:pPr>
    </w:p>
    <w:p w14:paraId="061DDB11" w14:textId="225589B6" w:rsidR="00870C1A" w:rsidRPr="00516784" w:rsidRDefault="00D33E5F" w:rsidP="00D921E2">
      <w:pPr>
        <w:rPr>
          <w:rFonts w:ascii="Times New Roman" w:hAnsi="Times New Roman" w:cs="Times New Roman"/>
        </w:rPr>
      </w:pPr>
      <w:r w:rsidRPr="00516784">
        <w:rPr>
          <w:rFonts w:ascii="Times New Roman" w:hAnsi="Times New Roman" w:cs="Times New Roman"/>
        </w:rPr>
        <w:t>If payment of a fine</w:t>
      </w:r>
      <w:r w:rsidR="007C4C16" w:rsidRPr="00516784">
        <w:rPr>
          <w:rFonts w:ascii="Times New Roman" w:hAnsi="Times New Roman" w:cs="Times New Roman"/>
        </w:rPr>
        <w:t>, cost, or</w:t>
      </w:r>
      <w:r w:rsidRPr="00516784">
        <w:rPr>
          <w:rFonts w:ascii="Times New Roman" w:hAnsi="Times New Roman" w:cs="Times New Roman"/>
        </w:rPr>
        <w:t xml:space="preserve"> restitution is a condition of probation, nonpayment is a technical violation only if the defendant </w:t>
      </w:r>
      <w:r w:rsidRPr="00516784">
        <w:rPr>
          <w:rFonts w:ascii="Times New Roman" w:hAnsi="Times New Roman" w:cs="Times New Roman"/>
          <w:u w:val="single"/>
        </w:rPr>
        <w:t>willfully</w:t>
      </w:r>
      <w:r w:rsidRPr="00516784">
        <w:rPr>
          <w:rFonts w:ascii="Times New Roman" w:hAnsi="Times New Roman" w:cs="Times New Roman"/>
        </w:rPr>
        <w:t xml:space="preserve"> refused to pay.</w:t>
      </w:r>
      <w:r w:rsidRPr="00516784">
        <w:rPr>
          <w:rStyle w:val="FootnoteReference"/>
          <w:rFonts w:ascii="Times New Roman" w:hAnsi="Times New Roman" w:cs="Times New Roman"/>
        </w:rPr>
        <w:footnoteReference w:id="6"/>
      </w:r>
    </w:p>
    <w:p w14:paraId="2BFEEFCA" w14:textId="77777777" w:rsidR="00870C1A" w:rsidRPr="00516784" w:rsidRDefault="00870C1A" w:rsidP="00D921E2">
      <w:pPr>
        <w:rPr>
          <w:rFonts w:ascii="Times New Roman" w:hAnsi="Times New Roman" w:cs="Times New Roman"/>
        </w:rPr>
      </w:pPr>
    </w:p>
    <w:p w14:paraId="68380351" w14:textId="48842FDF" w:rsidR="000E40B0" w:rsidRPr="00516784" w:rsidRDefault="007C4C16" w:rsidP="000E40B0">
      <w:pPr>
        <w:pStyle w:val="ListParagraph"/>
        <w:numPr>
          <w:ilvl w:val="0"/>
          <w:numId w:val="1"/>
        </w:numPr>
        <w:rPr>
          <w:rFonts w:ascii="Times New Roman" w:hAnsi="Times New Roman" w:cs="Times New Roman"/>
        </w:rPr>
      </w:pPr>
      <w:r w:rsidRPr="00516784">
        <w:rPr>
          <w:rFonts w:ascii="Times New Roman" w:hAnsi="Times New Roman" w:cs="Times New Roman"/>
        </w:rPr>
        <w:t>Willfulness</w:t>
      </w:r>
      <w:r w:rsidR="000E40B0" w:rsidRPr="00516784">
        <w:rPr>
          <w:rFonts w:ascii="Times New Roman" w:hAnsi="Times New Roman" w:cs="Times New Roman"/>
        </w:rPr>
        <w:t xml:space="preserve"> is defined as having the ability to pay and refusing to make payments.</w:t>
      </w:r>
    </w:p>
    <w:p w14:paraId="7ABF3E93" w14:textId="099D071D" w:rsidR="007C4C16" w:rsidRPr="00516784" w:rsidRDefault="007C4C16" w:rsidP="007C4C16">
      <w:pPr>
        <w:pStyle w:val="ListParagraph"/>
        <w:numPr>
          <w:ilvl w:val="1"/>
          <w:numId w:val="1"/>
        </w:numPr>
        <w:rPr>
          <w:rFonts w:ascii="Times New Roman" w:hAnsi="Times New Roman" w:cs="Times New Roman"/>
        </w:rPr>
      </w:pPr>
      <w:r w:rsidRPr="00516784">
        <w:rPr>
          <w:rFonts w:ascii="Times New Roman" w:hAnsi="Times New Roman" w:cs="Times New Roman"/>
        </w:rPr>
        <w:t>The court must determine whether the defendant’s nonpayment was a “deliberate disregard of the court’s order” or instead stems from “circumstances beyond the defendant’s control” due to the person’s financial situation.</w:t>
      </w:r>
      <w:r w:rsidRPr="00516784">
        <w:rPr>
          <w:rStyle w:val="FootnoteReference"/>
          <w:rFonts w:ascii="Times New Roman" w:eastAsia="Times New Roman" w:hAnsi="Times New Roman" w:cs="Times New Roman"/>
        </w:rPr>
        <w:footnoteReference w:id="7"/>
      </w:r>
      <w:r w:rsidRPr="00516784">
        <w:rPr>
          <w:rFonts w:ascii="Times New Roman" w:hAnsi="Times New Roman" w:cs="Times New Roman"/>
        </w:rPr>
        <w:t xml:space="preserve">  </w:t>
      </w:r>
    </w:p>
    <w:p w14:paraId="207F5D7B" w14:textId="71432B91" w:rsidR="007C4C16" w:rsidRPr="00516784" w:rsidRDefault="007C4C16" w:rsidP="00265DD6">
      <w:pPr>
        <w:pStyle w:val="ListParagraph"/>
        <w:numPr>
          <w:ilvl w:val="1"/>
          <w:numId w:val="1"/>
        </w:numPr>
        <w:rPr>
          <w:rFonts w:ascii="Times New Roman" w:hAnsi="Times New Roman" w:cs="Times New Roman"/>
        </w:rPr>
      </w:pPr>
      <w:r w:rsidRPr="00516784">
        <w:rPr>
          <w:rFonts w:ascii="Times New Roman" w:hAnsi="Times New Roman" w:cs="Times New Roman"/>
        </w:rPr>
        <w:t xml:space="preserve">Courts cannot treat </w:t>
      </w:r>
      <w:r w:rsidR="00AA3DDE" w:rsidRPr="00516784">
        <w:rPr>
          <w:rFonts w:ascii="Times New Roman" w:hAnsi="Times New Roman" w:cs="Times New Roman"/>
        </w:rPr>
        <w:t>nonpayment</w:t>
      </w:r>
      <w:r w:rsidRPr="00516784">
        <w:rPr>
          <w:rFonts w:ascii="Times New Roman" w:hAnsi="Times New Roman" w:cs="Times New Roman"/>
        </w:rPr>
        <w:t xml:space="preserve"> as a strict liability offense merely because the person did not pay.</w:t>
      </w:r>
      <w:r w:rsidRPr="00516784">
        <w:rPr>
          <w:rStyle w:val="FootnoteReference"/>
          <w:rFonts w:ascii="Times New Roman" w:eastAsia="Times New Roman" w:hAnsi="Times New Roman" w:cs="Times New Roman"/>
        </w:rPr>
        <w:footnoteReference w:id="8"/>
      </w:r>
      <w:r w:rsidRPr="00516784">
        <w:rPr>
          <w:rFonts w:ascii="Times New Roman" w:hAnsi="Times New Roman" w:cs="Times New Roman"/>
        </w:rPr>
        <w:t xml:space="preserve"> </w:t>
      </w:r>
    </w:p>
    <w:p w14:paraId="7744FB1B" w14:textId="756DE004" w:rsidR="007C4C16" w:rsidRPr="00516784" w:rsidRDefault="007C4C16" w:rsidP="007C4C16">
      <w:pPr>
        <w:pStyle w:val="Footer"/>
        <w:numPr>
          <w:ilvl w:val="1"/>
          <w:numId w:val="1"/>
        </w:numPr>
        <w:rPr>
          <w:rFonts w:ascii="Times New Roman" w:hAnsi="Times New Roman" w:cs="Times New Roman"/>
        </w:rPr>
      </w:pPr>
      <w:r w:rsidRPr="00516784">
        <w:rPr>
          <w:rFonts w:ascii="Times New Roman" w:eastAsia="Times New Roman" w:hAnsi="Times New Roman" w:cs="Times New Roman"/>
        </w:rPr>
        <w:t xml:space="preserve">A defendant who is </w:t>
      </w:r>
      <w:r w:rsidRPr="00516784">
        <w:rPr>
          <w:rFonts w:ascii="Times New Roman" w:eastAsia="Times New Roman" w:hAnsi="Times New Roman" w:cs="Times New Roman"/>
          <w:b/>
        </w:rPr>
        <w:t>indigent</w:t>
      </w:r>
      <w:r w:rsidRPr="00516784">
        <w:rPr>
          <w:rFonts w:ascii="Times New Roman" w:eastAsia="Times New Roman" w:hAnsi="Times New Roman" w:cs="Times New Roman"/>
        </w:rPr>
        <w:t xml:space="preserve"> cannot be </w:t>
      </w:r>
      <w:r w:rsidR="005E4A12">
        <w:rPr>
          <w:rFonts w:ascii="Times New Roman" w:eastAsia="Times New Roman" w:hAnsi="Times New Roman" w:cs="Times New Roman"/>
        </w:rPr>
        <w:t>found to have violated the terms of supervision due to</w:t>
      </w:r>
      <w:r w:rsidRPr="00516784">
        <w:rPr>
          <w:rFonts w:ascii="Times New Roman" w:eastAsia="Times New Roman" w:hAnsi="Times New Roman" w:cs="Times New Roman"/>
        </w:rPr>
        <w:t xml:space="preserve"> nonpayment, as a finding of indigence “preclude[s] any determination” that the defendant’s nonpayment “was willful.”</w:t>
      </w:r>
      <w:r w:rsidRPr="00516784">
        <w:rPr>
          <w:rStyle w:val="FootnoteReference"/>
          <w:rFonts w:ascii="Times New Roman" w:eastAsia="Times New Roman" w:hAnsi="Times New Roman" w:cs="Times New Roman"/>
        </w:rPr>
        <w:footnoteReference w:id="9"/>
      </w:r>
    </w:p>
    <w:p w14:paraId="36EC6143" w14:textId="255C15B7" w:rsidR="007C4C16" w:rsidRPr="00516784" w:rsidRDefault="007C4C16" w:rsidP="007C4C16">
      <w:pPr>
        <w:numPr>
          <w:ilvl w:val="1"/>
          <w:numId w:val="1"/>
        </w:numPr>
        <w:rPr>
          <w:rFonts w:ascii="Times New Roman" w:hAnsi="Times New Roman" w:cs="Times New Roman"/>
        </w:rPr>
      </w:pPr>
      <w:r w:rsidRPr="00516784">
        <w:rPr>
          <w:rFonts w:ascii="Times New Roman" w:hAnsi="Times New Roman" w:cs="Times New Roman"/>
        </w:rPr>
        <w:t>Thus, when a defendant is “penniless and unable, through no fault of his own, to pay any sum on the delinquencies,” the defendant is not in “willful noncompliance.”</w:t>
      </w:r>
      <w:r w:rsidRPr="00516784">
        <w:rPr>
          <w:rStyle w:val="FootnoteReference"/>
          <w:rFonts w:ascii="Times New Roman" w:hAnsi="Times New Roman" w:cs="Times New Roman"/>
        </w:rPr>
        <w:footnoteReference w:id="10"/>
      </w:r>
    </w:p>
    <w:p w14:paraId="4A0960C9" w14:textId="4A645110" w:rsidR="000E40B0" w:rsidRPr="00516784" w:rsidRDefault="000E40B0" w:rsidP="000E40B0">
      <w:pPr>
        <w:pStyle w:val="ListParagraph"/>
        <w:numPr>
          <w:ilvl w:val="0"/>
          <w:numId w:val="1"/>
        </w:numPr>
        <w:rPr>
          <w:rFonts w:ascii="Times New Roman" w:hAnsi="Times New Roman" w:cs="Times New Roman"/>
        </w:rPr>
      </w:pPr>
      <w:r w:rsidRPr="00516784">
        <w:rPr>
          <w:rFonts w:ascii="Times New Roman" w:hAnsi="Times New Roman" w:cs="Times New Roman"/>
        </w:rPr>
        <w:t>The burden is on the Commonwealth to show by a preponderance of the evidence that the defendant willfully failed to pay.</w:t>
      </w:r>
      <w:r w:rsidR="00AF694E" w:rsidRPr="00516784">
        <w:rPr>
          <w:rStyle w:val="FootnoteReference"/>
          <w:rFonts w:ascii="Times New Roman" w:hAnsi="Times New Roman" w:cs="Times New Roman"/>
        </w:rPr>
        <w:footnoteReference w:id="11"/>
      </w:r>
    </w:p>
    <w:p w14:paraId="5DA2985A" w14:textId="3DBD355D" w:rsidR="000E40B0" w:rsidRPr="00516784" w:rsidRDefault="000E40B0" w:rsidP="000E40B0">
      <w:pPr>
        <w:pStyle w:val="ListParagraph"/>
        <w:numPr>
          <w:ilvl w:val="0"/>
          <w:numId w:val="1"/>
        </w:numPr>
        <w:rPr>
          <w:rFonts w:ascii="Times New Roman" w:hAnsi="Times New Roman" w:cs="Times New Roman"/>
        </w:rPr>
      </w:pPr>
      <w:r w:rsidRPr="00516784">
        <w:rPr>
          <w:rFonts w:ascii="Times New Roman" w:hAnsi="Times New Roman" w:cs="Times New Roman"/>
        </w:rPr>
        <w:t>Without a court finding that the defendant willfully failed to pay, the defendant has not committed a violation of probation/parole—and therefore cannot be punished</w:t>
      </w:r>
      <w:r w:rsidR="00664845">
        <w:rPr>
          <w:rFonts w:ascii="Times New Roman" w:hAnsi="Times New Roman" w:cs="Times New Roman"/>
        </w:rPr>
        <w:t xml:space="preserve"> for nonpayment</w:t>
      </w:r>
      <w:r w:rsidRPr="00516784">
        <w:rPr>
          <w:rFonts w:ascii="Times New Roman" w:hAnsi="Times New Roman" w:cs="Times New Roman"/>
        </w:rPr>
        <w:t>.</w:t>
      </w:r>
      <w:r w:rsidR="00AA3DDE" w:rsidRPr="00516784">
        <w:rPr>
          <w:rStyle w:val="FootnoteReference"/>
          <w:rFonts w:ascii="Times New Roman" w:hAnsi="Times New Roman" w:cs="Times New Roman"/>
        </w:rPr>
        <w:footnoteReference w:id="12"/>
      </w:r>
    </w:p>
    <w:p w14:paraId="4EF5E45F" w14:textId="39DB7B3C" w:rsidR="000E40B0" w:rsidRDefault="000E40B0" w:rsidP="000E40B0">
      <w:pPr>
        <w:pStyle w:val="ListParagraph"/>
        <w:numPr>
          <w:ilvl w:val="0"/>
          <w:numId w:val="1"/>
        </w:numPr>
        <w:rPr>
          <w:rFonts w:ascii="Times New Roman" w:hAnsi="Times New Roman" w:cs="Times New Roman"/>
        </w:rPr>
      </w:pPr>
      <w:r w:rsidRPr="00516784">
        <w:rPr>
          <w:rFonts w:ascii="Times New Roman" w:hAnsi="Times New Roman" w:cs="Times New Roman"/>
        </w:rPr>
        <w:lastRenderedPageBreak/>
        <w:t>To determine whether a defendant is able to pay, refer to the separate ACLU-PA Guide available at www.aclupa.org/finesandcosts</w:t>
      </w:r>
    </w:p>
    <w:p w14:paraId="015666B6" w14:textId="77777777" w:rsidR="00011C8A" w:rsidRDefault="00011C8A" w:rsidP="00011C8A">
      <w:pPr>
        <w:rPr>
          <w:rFonts w:ascii="Times New Roman" w:hAnsi="Times New Roman" w:cs="Times New Roman"/>
        </w:rPr>
      </w:pPr>
    </w:p>
    <w:p w14:paraId="27C6DA27" w14:textId="659F986B" w:rsidR="00011C8A" w:rsidRPr="00011C8A" w:rsidRDefault="00011C8A" w:rsidP="00011C8A">
      <w:pPr>
        <w:rPr>
          <w:rFonts w:ascii="Times New Roman" w:hAnsi="Times New Roman" w:cs="Times New Roman"/>
        </w:rPr>
      </w:pPr>
      <w:r>
        <w:rPr>
          <w:rFonts w:ascii="Times New Roman" w:hAnsi="Times New Roman" w:cs="Times New Roman"/>
        </w:rPr>
        <w:t xml:space="preserve">Even if the defendant is found to have committed </w:t>
      </w:r>
      <w:r>
        <w:rPr>
          <w:rFonts w:ascii="Times New Roman" w:hAnsi="Times New Roman" w:cs="Times New Roman"/>
          <w:i/>
        </w:rPr>
        <w:t>other</w:t>
      </w:r>
      <w:r>
        <w:rPr>
          <w:rFonts w:ascii="Times New Roman" w:hAnsi="Times New Roman" w:cs="Times New Roman"/>
        </w:rPr>
        <w:t xml:space="preserve"> probation violations, the court cannot sentence him for those violations </w:t>
      </w:r>
      <w:r>
        <w:rPr>
          <w:rFonts w:ascii="Times New Roman" w:hAnsi="Times New Roman" w:cs="Times New Roman"/>
          <w:i/>
        </w:rPr>
        <w:t>and</w:t>
      </w:r>
      <w:r>
        <w:rPr>
          <w:rFonts w:ascii="Times New Roman" w:hAnsi="Times New Roman" w:cs="Times New Roman"/>
        </w:rPr>
        <w:t xml:space="preserve"> a violation for nonpayment without first determining whether the nonpayment was willful.</w:t>
      </w:r>
      <w:r w:rsidR="00F2239D">
        <w:rPr>
          <w:rStyle w:val="FootnoteReference"/>
          <w:rFonts w:ascii="Times New Roman" w:hAnsi="Times New Roman" w:cs="Times New Roman"/>
        </w:rPr>
        <w:footnoteReference w:id="13"/>
      </w:r>
    </w:p>
    <w:p w14:paraId="4351F2C6" w14:textId="77777777" w:rsidR="000E40B0" w:rsidRPr="00516784" w:rsidRDefault="000E40B0" w:rsidP="000E40B0">
      <w:pPr>
        <w:rPr>
          <w:rFonts w:ascii="Times New Roman" w:hAnsi="Times New Roman" w:cs="Times New Roman"/>
        </w:rPr>
      </w:pPr>
    </w:p>
    <w:p w14:paraId="78EB76D6" w14:textId="1EB518B7" w:rsidR="000E40B0" w:rsidRPr="00516784" w:rsidRDefault="000E40B0" w:rsidP="00D921E2">
      <w:pPr>
        <w:rPr>
          <w:rFonts w:ascii="Times New Roman" w:hAnsi="Times New Roman" w:cs="Times New Roman"/>
        </w:rPr>
      </w:pPr>
      <w:r w:rsidRPr="00516784">
        <w:rPr>
          <w:rFonts w:ascii="Times New Roman" w:hAnsi="Times New Roman" w:cs="Times New Roman"/>
        </w:rPr>
        <w:t>Because of both the United States and Pennsylvania Supreme Courts’ longstanding interest in avoiding incarceration due solely to a defendants’ indigence, the trial court has an affirmative obligation to inquire into the defendant’s finances and reasons for nonpayment.</w:t>
      </w:r>
    </w:p>
    <w:p w14:paraId="6C96C783" w14:textId="77777777" w:rsidR="000E40B0" w:rsidRPr="00516784" w:rsidRDefault="000E40B0" w:rsidP="00D921E2">
      <w:pPr>
        <w:rPr>
          <w:rFonts w:ascii="Times New Roman" w:hAnsi="Times New Roman" w:cs="Times New Roman"/>
        </w:rPr>
      </w:pPr>
    </w:p>
    <w:p w14:paraId="7F310172" w14:textId="4790FA9A" w:rsidR="000E40B0" w:rsidRPr="00516784" w:rsidRDefault="000E40B0" w:rsidP="000E40B0">
      <w:pPr>
        <w:pStyle w:val="ListParagraph"/>
        <w:numPr>
          <w:ilvl w:val="0"/>
          <w:numId w:val="2"/>
        </w:numPr>
        <w:rPr>
          <w:rFonts w:ascii="Times New Roman" w:hAnsi="Times New Roman" w:cs="Times New Roman"/>
        </w:rPr>
      </w:pPr>
      <w:r w:rsidRPr="00516784">
        <w:rPr>
          <w:rFonts w:ascii="Times New Roman" w:hAnsi="Times New Roman" w:cs="Times New Roman"/>
        </w:rPr>
        <w:t xml:space="preserve">Nonpayment is not a mere affirmative defense, as the case law squarely places an obligation on the court itself to inquire </w:t>
      </w:r>
      <w:r w:rsidRPr="00516784">
        <w:rPr>
          <w:rFonts w:ascii="Times New Roman" w:hAnsi="Times New Roman" w:cs="Times New Roman"/>
          <w:u w:val="single"/>
        </w:rPr>
        <w:t>even if the defendant does not raise inability to pay as a defense</w:t>
      </w:r>
      <w:r w:rsidRPr="00516784">
        <w:rPr>
          <w:rFonts w:ascii="Times New Roman" w:hAnsi="Times New Roman" w:cs="Times New Roman"/>
        </w:rPr>
        <w:t>.</w:t>
      </w:r>
      <w:r w:rsidR="00795A98" w:rsidRPr="00516784">
        <w:rPr>
          <w:rStyle w:val="FootnoteReference"/>
          <w:rFonts w:ascii="Times New Roman" w:hAnsi="Times New Roman" w:cs="Times New Roman"/>
        </w:rPr>
        <w:footnoteReference w:id="14"/>
      </w:r>
    </w:p>
    <w:p w14:paraId="384F9329" w14:textId="76CCE003" w:rsidR="000E40B0" w:rsidRPr="00516784" w:rsidRDefault="000E40B0" w:rsidP="00D921E2">
      <w:pPr>
        <w:pStyle w:val="ListParagraph"/>
        <w:numPr>
          <w:ilvl w:val="0"/>
          <w:numId w:val="2"/>
        </w:numPr>
        <w:rPr>
          <w:rFonts w:ascii="Times New Roman" w:hAnsi="Times New Roman" w:cs="Times New Roman"/>
        </w:rPr>
      </w:pPr>
      <w:r w:rsidRPr="00516784">
        <w:rPr>
          <w:rFonts w:ascii="Times New Roman" w:hAnsi="Times New Roman" w:cs="Times New Roman"/>
        </w:rPr>
        <w:t>The Superior Court has repeatedly ruled that trial courts unconstitutionally revoked defendants’ probation without making the necessary inquiry into their financial circumstances.</w:t>
      </w:r>
      <w:r w:rsidR="002C6D14" w:rsidRPr="00516784">
        <w:rPr>
          <w:rStyle w:val="FootnoteReference"/>
          <w:rFonts w:ascii="Times New Roman" w:hAnsi="Times New Roman" w:cs="Times New Roman"/>
        </w:rPr>
        <w:footnoteReference w:id="15"/>
      </w:r>
      <w:r w:rsidRPr="00516784">
        <w:rPr>
          <w:rFonts w:ascii="Times New Roman" w:hAnsi="Times New Roman" w:cs="Times New Roman"/>
        </w:rPr>
        <w:t xml:space="preserve"> </w:t>
      </w:r>
    </w:p>
    <w:p w14:paraId="4E3EC756" w14:textId="64A12FB3" w:rsidR="00A514CB" w:rsidRPr="00516784" w:rsidRDefault="00A514CB" w:rsidP="00D921E2">
      <w:pPr>
        <w:pStyle w:val="ListParagraph"/>
        <w:numPr>
          <w:ilvl w:val="0"/>
          <w:numId w:val="2"/>
        </w:numPr>
        <w:rPr>
          <w:rFonts w:ascii="Times New Roman" w:hAnsi="Times New Roman" w:cs="Times New Roman"/>
        </w:rPr>
      </w:pPr>
      <w:r w:rsidRPr="00516784">
        <w:rPr>
          <w:rFonts w:ascii="Times New Roman" w:hAnsi="Times New Roman" w:cs="Times New Roman"/>
        </w:rPr>
        <w:t xml:space="preserve">The court must make findings on the record regarding the defendant’s financial ability to pay. </w:t>
      </w:r>
      <w:r w:rsidR="004429B1" w:rsidRPr="00516784">
        <w:rPr>
          <w:rStyle w:val="FootnoteReference"/>
          <w:rFonts w:ascii="Times New Roman" w:hAnsi="Times New Roman" w:cs="Times New Roman"/>
        </w:rPr>
        <w:footnoteReference w:id="16"/>
      </w:r>
    </w:p>
    <w:p w14:paraId="38279A54" w14:textId="67A3F1EB" w:rsidR="00A514CB" w:rsidRPr="00516784" w:rsidRDefault="00A514CB" w:rsidP="00A514CB">
      <w:pPr>
        <w:rPr>
          <w:rFonts w:ascii="Times New Roman" w:hAnsi="Times New Roman" w:cs="Times New Roman"/>
        </w:rPr>
      </w:pPr>
    </w:p>
    <w:p w14:paraId="79278918" w14:textId="5146A26A" w:rsidR="00A514CB" w:rsidRDefault="00A514CB" w:rsidP="00A514CB">
      <w:pPr>
        <w:rPr>
          <w:rFonts w:ascii="Times New Roman" w:hAnsi="Times New Roman" w:cs="Times New Roman"/>
        </w:rPr>
      </w:pPr>
      <w:r w:rsidRPr="00516784">
        <w:rPr>
          <w:rFonts w:ascii="Times New Roman" w:hAnsi="Times New Roman" w:cs="Times New Roman"/>
        </w:rPr>
        <w:lastRenderedPageBreak/>
        <w:t xml:space="preserve">These requirements—that the trial court at a </w:t>
      </w:r>
      <w:r w:rsidRPr="00516784">
        <w:rPr>
          <w:rFonts w:ascii="Times New Roman" w:hAnsi="Times New Roman" w:cs="Times New Roman"/>
          <w:i/>
        </w:rPr>
        <w:t xml:space="preserve">Gagnon II </w:t>
      </w:r>
      <w:r w:rsidRPr="00516784">
        <w:rPr>
          <w:rFonts w:ascii="Times New Roman" w:hAnsi="Times New Roman" w:cs="Times New Roman"/>
        </w:rPr>
        <w:t>hearing</w:t>
      </w:r>
      <w:r w:rsidR="0025379E" w:rsidRPr="00516784">
        <w:rPr>
          <w:rFonts w:ascii="Times New Roman" w:hAnsi="Times New Roman" w:cs="Times New Roman"/>
        </w:rPr>
        <w:t xml:space="preserve"> inquire into the reasons for the defendant’s nonpayment and find a violation only if the defendant is willfully refusing to pay—apply equally even if the court is not considering incarceration.</w:t>
      </w:r>
      <w:r w:rsidR="0025379E" w:rsidRPr="00516784">
        <w:rPr>
          <w:rStyle w:val="FootnoteReference"/>
          <w:rFonts w:ascii="Times New Roman" w:hAnsi="Times New Roman" w:cs="Times New Roman"/>
        </w:rPr>
        <w:footnoteReference w:id="17"/>
      </w:r>
      <w:r w:rsidR="0025379E" w:rsidRPr="00516784">
        <w:rPr>
          <w:rFonts w:ascii="Times New Roman" w:hAnsi="Times New Roman" w:cs="Times New Roman"/>
        </w:rPr>
        <w:t xml:space="preserve"> A defendant is entitled to an ability-to-pay hearing and such a finding whenever he is exposed to “increased conditions of supervision,” including an extension of the length of supervision.</w:t>
      </w:r>
      <w:r w:rsidR="0025379E" w:rsidRPr="00516784">
        <w:rPr>
          <w:rStyle w:val="FootnoteReference"/>
          <w:rFonts w:ascii="Times New Roman" w:hAnsi="Times New Roman" w:cs="Times New Roman"/>
        </w:rPr>
        <w:footnoteReference w:id="18"/>
      </w:r>
    </w:p>
    <w:p w14:paraId="19DFF909" w14:textId="77777777" w:rsidR="00344522" w:rsidRDefault="00344522" w:rsidP="00A514CB">
      <w:pPr>
        <w:rPr>
          <w:rFonts w:ascii="Times New Roman" w:hAnsi="Times New Roman" w:cs="Times New Roman"/>
        </w:rPr>
      </w:pPr>
    </w:p>
    <w:p w14:paraId="4F4699FF" w14:textId="77777777" w:rsidR="00D921E2" w:rsidRPr="00516784" w:rsidRDefault="00D921E2" w:rsidP="00D921E2">
      <w:pPr>
        <w:rPr>
          <w:rFonts w:ascii="Times New Roman" w:hAnsi="Times New Roman" w:cs="Times New Roman"/>
        </w:rPr>
      </w:pPr>
    </w:p>
    <w:p w14:paraId="733BE565" w14:textId="1134D559" w:rsidR="00567270" w:rsidRPr="00516784" w:rsidRDefault="00567270" w:rsidP="00D921E2">
      <w:pPr>
        <w:rPr>
          <w:rFonts w:ascii="Times New Roman" w:hAnsi="Times New Roman" w:cs="Times New Roman"/>
        </w:rPr>
      </w:pPr>
      <w:r w:rsidRPr="00516784">
        <w:rPr>
          <w:rFonts w:ascii="Times New Roman" w:hAnsi="Times New Roman" w:cs="Times New Roman"/>
          <w:b/>
          <w:u w:val="single"/>
        </w:rPr>
        <w:t>Defendants have a right to counsel that can only be waived in accordance with Rule 121</w:t>
      </w:r>
      <w:r w:rsidR="00D603EC" w:rsidRPr="00516784">
        <w:rPr>
          <w:rFonts w:ascii="Times New Roman" w:hAnsi="Times New Roman" w:cs="Times New Roman"/>
          <w:b/>
          <w:u w:val="single"/>
        </w:rPr>
        <w:t>.</w:t>
      </w:r>
    </w:p>
    <w:p w14:paraId="3821BD17" w14:textId="77777777" w:rsidR="00567270" w:rsidRPr="00516784" w:rsidRDefault="00567270" w:rsidP="00D921E2">
      <w:pPr>
        <w:rPr>
          <w:rFonts w:ascii="Times New Roman" w:hAnsi="Times New Roman" w:cs="Times New Roman"/>
        </w:rPr>
      </w:pPr>
    </w:p>
    <w:p w14:paraId="015FEA69" w14:textId="6486C868" w:rsidR="00567270" w:rsidRPr="00516784" w:rsidRDefault="00DB6D5C" w:rsidP="00D921E2">
      <w:pPr>
        <w:rPr>
          <w:rFonts w:ascii="Times New Roman" w:hAnsi="Times New Roman" w:cs="Times New Roman"/>
        </w:rPr>
      </w:pPr>
      <w:r w:rsidRPr="00516784">
        <w:rPr>
          <w:rFonts w:ascii="Times New Roman" w:hAnsi="Times New Roman" w:cs="Times New Roman"/>
        </w:rPr>
        <w:t>Pennsylvania law provides a right to counsel in probation/parole revocation hearings.</w:t>
      </w:r>
      <w:r w:rsidR="00714F85" w:rsidRPr="00516784">
        <w:rPr>
          <w:rStyle w:val="FootnoteReference"/>
          <w:rFonts w:ascii="Times New Roman" w:hAnsi="Times New Roman" w:cs="Times New Roman"/>
        </w:rPr>
        <w:footnoteReference w:id="19"/>
      </w:r>
      <w:r w:rsidRPr="00516784">
        <w:rPr>
          <w:rFonts w:ascii="Times New Roman" w:hAnsi="Times New Roman" w:cs="Times New Roman"/>
        </w:rPr>
        <w:t xml:space="preserve"> Pa.R.Crim.P. 121 permits</w:t>
      </w:r>
      <w:r w:rsidR="00714F85" w:rsidRPr="00516784">
        <w:rPr>
          <w:rFonts w:ascii="Times New Roman" w:hAnsi="Times New Roman" w:cs="Times New Roman"/>
        </w:rPr>
        <w:t xml:space="preserve"> a court to accept a waiver of counsel only </w:t>
      </w:r>
      <w:r w:rsidRPr="00516784">
        <w:rPr>
          <w:rFonts w:ascii="Times New Roman" w:hAnsi="Times New Roman" w:cs="Times New Roman"/>
        </w:rPr>
        <w:t>via an on-the-record colloquy in</w:t>
      </w:r>
      <w:r w:rsidR="00714F85" w:rsidRPr="00516784">
        <w:rPr>
          <w:rFonts w:ascii="Times New Roman" w:hAnsi="Times New Roman" w:cs="Times New Roman"/>
        </w:rPr>
        <w:t xml:space="preserve"> open</w:t>
      </w:r>
      <w:r w:rsidRPr="00516784">
        <w:rPr>
          <w:rFonts w:ascii="Times New Roman" w:hAnsi="Times New Roman" w:cs="Times New Roman"/>
        </w:rPr>
        <w:t xml:space="preserve"> court. </w:t>
      </w:r>
    </w:p>
    <w:p w14:paraId="24217AE0" w14:textId="77777777" w:rsidR="00DB6D5C" w:rsidRPr="00516784" w:rsidRDefault="00DB6D5C" w:rsidP="00D921E2">
      <w:pPr>
        <w:rPr>
          <w:rFonts w:ascii="Times New Roman" w:hAnsi="Times New Roman" w:cs="Times New Roman"/>
        </w:rPr>
      </w:pPr>
    </w:p>
    <w:p w14:paraId="283D0690" w14:textId="71CC1B16" w:rsidR="005254E1" w:rsidRPr="00516784" w:rsidRDefault="005254E1" w:rsidP="005254E1">
      <w:pPr>
        <w:pStyle w:val="ListParagraph"/>
        <w:numPr>
          <w:ilvl w:val="0"/>
          <w:numId w:val="3"/>
        </w:numPr>
        <w:rPr>
          <w:rFonts w:ascii="Times New Roman" w:hAnsi="Times New Roman" w:cs="Times New Roman"/>
        </w:rPr>
      </w:pPr>
      <w:r w:rsidRPr="00516784">
        <w:rPr>
          <w:rFonts w:ascii="Times New Roman" w:hAnsi="Times New Roman" w:cs="Times New Roman"/>
        </w:rPr>
        <w:t>Per Rule 121, “the judge or issuing authority, at a minimum, shall elicit the following information from the defendant” six categories of information</w:t>
      </w:r>
      <w:r w:rsidR="002D4DEA" w:rsidRPr="00516784">
        <w:rPr>
          <w:rFonts w:ascii="Times New Roman" w:hAnsi="Times New Roman" w:cs="Times New Roman"/>
        </w:rPr>
        <w:t xml:space="preserve"> prior to accepting any waiver of counsel</w:t>
      </w:r>
      <w:r w:rsidRPr="00516784">
        <w:rPr>
          <w:rFonts w:ascii="Times New Roman" w:hAnsi="Times New Roman" w:cs="Times New Roman"/>
        </w:rPr>
        <w:t>.</w:t>
      </w:r>
      <w:r w:rsidRPr="00516784">
        <w:rPr>
          <w:rStyle w:val="FootnoteReference"/>
          <w:rFonts w:ascii="Times New Roman" w:hAnsi="Times New Roman" w:cs="Times New Roman"/>
        </w:rPr>
        <w:footnoteReference w:id="20"/>
      </w:r>
    </w:p>
    <w:p w14:paraId="0154400A" w14:textId="56A281E9" w:rsidR="00DB6D5C" w:rsidRPr="00516784" w:rsidRDefault="00DB6D5C" w:rsidP="00DB6D5C">
      <w:pPr>
        <w:pStyle w:val="ListParagraph"/>
        <w:numPr>
          <w:ilvl w:val="0"/>
          <w:numId w:val="3"/>
        </w:numPr>
        <w:rPr>
          <w:rFonts w:ascii="Times New Roman" w:hAnsi="Times New Roman" w:cs="Times New Roman"/>
        </w:rPr>
      </w:pPr>
      <w:r w:rsidRPr="00516784">
        <w:rPr>
          <w:rFonts w:ascii="Times New Roman" w:hAnsi="Times New Roman" w:cs="Times New Roman"/>
        </w:rPr>
        <w:t>Some probation offices have defendants sign stipulations of violations that purport to waive this right to counsel, without ever appearing before a judge. These stipulations—and the resulting violation orders—are unlawful.</w:t>
      </w:r>
      <w:r w:rsidR="00182D41" w:rsidRPr="00516784">
        <w:rPr>
          <w:rStyle w:val="FootnoteReference"/>
          <w:rFonts w:ascii="Times New Roman" w:hAnsi="Times New Roman" w:cs="Times New Roman"/>
        </w:rPr>
        <w:footnoteReference w:id="21"/>
      </w:r>
      <w:r w:rsidRPr="00516784">
        <w:rPr>
          <w:rFonts w:ascii="Times New Roman" w:hAnsi="Times New Roman" w:cs="Times New Roman"/>
        </w:rPr>
        <w:t xml:space="preserve"> </w:t>
      </w:r>
    </w:p>
    <w:p w14:paraId="7C0C5826" w14:textId="7B3FC7F5" w:rsidR="00C35B88" w:rsidRPr="00516784" w:rsidRDefault="005B13C2" w:rsidP="005B13C2">
      <w:pPr>
        <w:pStyle w:val="ListParagraph"/>
        <w:numPr>
          <w:ilvl w:val="0"/>
          <w:numId w:val="3"/>
        </w:numPr>
        <w:rPr>
          <w:rFonts w:ascii="Times New Roman" w:hAnsi="Times New Roman" w:cs="Times New Roman"/>
        </w:rPr>
      </w:pPr>
      <w:r w:rsidRPr="00516784">
        <w:rPr>
          <w:rFonts w:ascii="Times New Roman" w:hAnsi="Times New Roman" w:cs="Times New Roman"/>
        </w:rPr>
        <w:t>Defendants who are currently on probation/parole as a result of such an unlawful stipulation</w:t>
      </w:r>
      <w:r w:rsidR="00022B1B" w:rsidRPr="00516784">
        <w:rPr>
          <w:rFonts w:ascii="Times New Roman" w:hAnsi="Times New Roman" w:cs="Times New Roman"/>
        </w:rPr>
        <w:t xml:space="preserve"> arisin</w:t>
      </w:r>
      <w:r w:rsidR="00117F72">
        <w:rPr>
          <w:rFonts w:ascii="Times New Roman" w:hAnsi="Times New Roman" w:cs="Times New Roman"/>
        </w:rPr>
        <w:t xml:space="preserve">g from nonpayment of fines, costs, or </w:t>
      </w:r>
      <w:r w:rsidR="00022B1B" w:rsidRPr="00516784">
        <w:rPr>
          <w:rFonts w:ascii="Times New Roman" w:hAnsi="Times New Roman" w:cs="Times New Roman"/>
        </w:rPr>
        <w:t>restitution</w:t>
      </w:r>
      <w:r w:rsidRPr="00516784">
        <w:rPr>
          <w:rFonts w:ascii="Times New Roman" w:hAnsi="Times New Roman" w:cs="Times New Roman"/>
        </w:rPr>
        <w:t xml:space="preserve"> should seek to have their supervision terminated. </w:t>
      </w:r>
    </w:p>
    <w:sectPr w:rsidR="00C35B88" w:rsidRPr="00516784" w:rsidSect="006A3C96">
      <w:footerReference w:type="default" r:id="rId7"/>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DFB73" w14:textId="77777777" w:rsidR="00E40589" w:rsidRDefault="00E40589" w:rsidP="00657ED0">
      <w:r>
        <w:separator/>
      </w:r>
    </w:p>
  </w:endnote>
  <w:endnote w:type="continuationSeparator" w:id="0">
    <w:p w14:paraId="6A077150" w14:textId="77777777" w:rsidR="00E40589" w:rsidRDefault="00E40589" w:rsidP="0065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608422238"/>
      <w:docPartObj>
        <w:docPartGallery w:val="Page Numbers (Bottom of Page)"/>
        <w:docPartUnique/>
      </w:docPartObj>
    </w:sdtPr>
    <w:sdtEndPr>
      <w:rPr>
        <w:noProof/>
      </w:rPr>
    </w:sdtEndPr>
    <w:sdtContent>
      <w:p w14:paraId="2044E9EF" w14:textId="40C8AE98" w:rsidR="00E9712C" w:rsidRPr="00E9712C" w:rsidRDefault="00E9712C">
        <w:pPr>
          <w:pStyle w:val="Footer"/>
          <w:jc w:val="center"/>
          <w:rPr>
            <w:rFonts w:ascii="Times New Roman" w:hAnsi="Times New Roman" w:cs="Times New Roman"/>
          </w:rPr>
        </w:pPr>
        <w:r w:rsidRPr="00E9712C">
          <w:rPr>
            <w:rFonts w:ascii="Times New Roman" w:hAnsi="Times New Roman" w:cs="Times New Roman"/>
          </w:rPr>
          <w:fldChar w:fldCharType="begin"/>
        </w:r>
        <w:r w:rsidRPr="00E9712C">
          <w:rPr>
            <w:rFonts w:ascii="Times New Roman" w:hAnsi="Times New Roman" w:cs="Times New Roman"/>
          </w:rPr>
          <w:instrText xml:space="preserve"> PAGE   \* MERGEFORMAT </w:instrText>
        </w:r>
        <w:r w:rsidRPr="00E9712C">
          <w:rPr>
            <w:rFonts w:ascii="Times New Roman" w:hAnsi="Times New Roman" w:cs="Times New Roman"/>
          </w:rPr>
          <w:fldChar w:fldCharType="separate"/>
        </w:r>
        <w:r w:rsidR="007355EF">
          <w:rPr>
            <w:rFonts w:ascii="Times New Roman" w:hAnsi="Times New Roman" w:cs="Times New Roman"/>
            <w:noProof/>
          </w:rPr>
          <w:t>2</w:t>
        </w:r>
        <w:r w:rsidRPr="00E9712C">
          <w:rPr>
            <w:rFonts w:ascii="Times New Roman" w:hAnsi="Times New Roman" w:cs="Times New Roman"/>
            <w:noProof/>
          </w:rPr>
          <w:fldChar w:fldCharType="end"/>
        </w:r>
      </w:p>
    </w:sdtContent>
  </w:sdt>
  <w:p w14:paraId="749C78CA" w14:textId="7EA870A5" w:rsidR="00166D0E" w:rsidRPr="00166D0E" w:rsidRDefault="00E9712C">
    <w:pPr>
      <w:pStyle w:val="Footer"/>
      <w:rPr>
        <w:rFonts w:ascii="Times New Roman" w:hAnsi="Times New Roman" w:cs="Times New Roman"/>
        <w:sz w:val="20"/>
        <w:szCs w:val="20"/>
      </w:rPr>
    </w:pPr>
    <w:r>
      <w:rPr>
        <w:rFonts w:ascii="Times New Roman" w:hAnsi="Times New Roman" w:cs="Times New Roman"/>
        <w:sz w:val="20"/>
        <w:szCs w:val="20"/>
      </w:rPr>
      <w:t>Last updated: 20</w:t>
    </w:r>
    <w:r w:rsidR="001365BE">
      <w:rPr>
        <w:rFonts w:ascii="Times New Roman" w:hAnsi="Times New Roman" w:cs="Times New Roman"/>
        <w:sz w:val="20"/>
        <w:szCs w:val="20"/>
      </w:rPr>
      <w:t>20-09-16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707EE" w14:textId="77777777" w:rsidR="00E40589" w:rsidRDefault="00E40589" w:rsidP="00657ED0">
      <w:r>
        <w:separator/>
      </w:r>
    </w:p>
  </w:footnote>
  <w:footnote w:type="continuationSeparator" w:id="0">
    <w:p w14:paraId="7C3EB6AD" w14:textId="77777777" w:rsidR="00E40589" w:rsidRDefault="00E40589" w:rsidP="00657ED0">
      <w:r>
        <w:continuationSeparator/>
      </w:r>
    </w:p>
  </w:footnote>
  <w:footnote w:id="1">
    <w:p w14:paraId="362D6B27" w14:textId="3873D66D" w:rsidR="0066418B" w:rsidRPr="00F2239D" w:rsidRDefault="0066418B">
      <w:pPr>
        <w:pStyle w:val="FootnoteText"/>
        <w:rPr>
          <w:rFonts w:ascii="Times New Roman" w:hAnsi="Times New Roman" w:cs="Times New Roman"/>
        </w:rPr>
      </w:pPr>
      <w:r w:rsidRPr="00F2239D">
        <w:rPr>
          <w:rStyle w:val="FootnoteReference"/>
          <w:rFonts w:ascii="Times New Roman" w:hAnsi="Times New Roman" w:cs="Times New Roman"/>
        </w:rPr>
        <w:footnoteRef/>
      </w:r>
      <w:r w:rsidRPr="00F2239D">
        <w:rPr>
          <w:rFonts w:ascii="Times New Roman" w:hAnsi="Times New Roman" w:cs="Times New Roman"/>
        </w:rPr>
        <w:t xml:space="preserve"> How to determine whether the defendant is “able to pay” is the subject of a separate ACLU-PA Guide</w:t>
      </w:r>
      <w:r w:rsidR="000E40B0" w:rsidRPr="00F2239D">
        <w:rPr>
          <w:rFonts w:ascii="Times New Roman" w:hAnsi="Times New Roman" w:cs="Times New Roman"/>
        </w:rPr>
        <w:t xml:space="preserve"> available at www.aclupa.org/finesandcosts</w:t>
      </w:r>
      <w:r w:rsidRPr="00F2239D">
        <w:rPr>
          <w:rFonts w:ascii="Times New Roman" w:hAnsi="Times New Roman" w:cs="Times New Roman"/>
        </w:rPr>
        <w:t>.</w:t>
      </w:r>
    </w:p>
  </w:footnote>
  <w:footnote w:id="2">
    <w:p w14:paraId="1959DA9F" w14:textId="3282E7C9" w:rsidR="009B4318" w:rsidRPr="00F2239D" w:rsidRDefault="009B4318">
      <w:pPr>
        <w:pStyle w:val="FootnoteText"/>
        <w:rPr>
          <w:rFonts w:ascii="Times New Roman" w:hAnsi="Times New Roman" w:cs="Times New Roman"/>
        </w:rPr>
      </w:pPr>
      <w:r w:rsidRPr="00F2239D">
        <w:rPr>
          <w:rStyle w:val="FootnoteReference"/>
          <w:rFonts w:ascii="Times New Roman" w:hAnsi="Times New Roman" w:cs="Times New Roman"/>
        </w:rPr>
        <w:footnoteRef/>
      </w:r>
      <w:r w:rsidRPr="00F2239D">
        <w:rPr>
          <w:rFonts w:ascii="Times New Roman" w:hAnsi="Times New Roman" w:cs="Times New Roman"/>
        </w:rPr>
        <w:t xml:space="preserve"> 42 Pa. Cons. Stat. § 9754(c)(11).</w:t>
      </w:r>
    </w:p>
  </w:footnote>
  <w:footnote w:id="3">
    <w:p w14:paraId="6F899869" w14:textId="77777777" w:rsidR="00C35B88" w:rsidRPr="00F2239D" w:rsidRDefault="00C35B88" w:rsidP="00C35B88">
      <w:pPr>
        <w:pStyle w:val="FootnoteText"/>
        <w:rPr>
          <w:rFonts w:ascii="Times New Roman" w:hAnsi="Times New Roman" w:cs="Times New Roman"/>
        </w:rPr>
      </w:pPr>
      <w:r w:rsidRPr="00F2239D">
        <w:rPr>
          <w:rStyle w:val="FootnoteReference"/>
          <w:rFonts w:ascii="Times New Roman" w:hAnsi="Times New Roman" w:cs="Times New Roman"/>
        </w:rPr>
        <w:footnoteRef/>
      </w:r>
      <w:r w:rsidRPr="00F2239D">
        <w:rPr>
          <w:rFonts w:ascii="Times New Roman" w:hAnsi="Times New Roman" w:cs="Times New Roman"/>
        </w:rPr>
        <w:t xml:space="preserve"> </w:t>
      </w:r>
      <w:r w:rsidRPr="00F2239D">
        <w:rPr>
          <w:rFonts w:ascii="Times New Roman" w:hAnsi="Times New Roman" w:cs="Times New Roman"/>
          <w:i/>
        </w:rPr>
        <w:t>Commonwealth v. Karth</w:t>
      </w:r>
      <w:r w:rsidRPr="00F2239D">
        <w:rPr>
          <w:rFonts w:ascii="Times New Roman" w:hAnsi="Times New Roman" w:cs="Times New Roman"/>
        </w:rPr>
        <w:t xml:space="preserve">, 994 A.2d 606, 610 (Pa. Super. Ct. 2010); </w:t>
      </w:r>
      <w:r w:rsidRPr="00F2239D">
        <w:rPr>
          <w:rFonts w:ascii="Times New Roman" w:hAnsi="Times New Roman" w:cs="Times New Roman"/>
          <w:i/>
        </w:rPr>
        <w:t>Commonwealth v. Holmes</w:t>
      </w:r>
      <w:r w:rsidRPr="00F2239D">
        <w:rPr>
          <w:rFonts w:ascii="Times New Roman" w:hAnsi="Times New Roman" w:cs="Times New Roman"/>
        </w:rPr>
        <w:t xml:space="preserve">, 155 A.3d 69, 86-87 (Pa. Super. Ct. 2017) (en banc) (opinion of four judges). </w:t>
      </w:r>
    </w:p>
  </w:footnote>
  <w:footnote w:id="4">
    <w:p w14:paraId="0CA8D495" w14:textId="74582918" w:rsidR="00C35B88" w:rsidRPr="001C53CE" w:rsidRDefault="00C35B88" w:rsidP="00C35B88">
      <w:pPr>
        <w:pStyle w:val="FootnoteText"/>
        <w:rPr>
          <w:rFonts w:ascii="Times New Roman" w:hAnsi="Times New Roman" w:cs="Times New Roman"/>
        </w:rPr>
      </w:pPr>
      <w:r w:rsidRPr="00F2239D">
        <w:rPr>
          <w:rStyle w:val="FootnoteReference"/>
          <w:rFonts w:ascii="Times New Roman" w:hAnsi="Times New Roman" w:cs="Times New Roman"/>
        </w:rPr>
        <w:footnoteRef/>
      </w:r>
      <w:r w:rsidRPr="00F2239D">
        <w:rPr>
          <w:rFonts w:ascii="Times New Roman" w:hAnsi="Times New Roman" w:cs="Times New Roman"/>
        </w:rPr>
        <w:t xml:space="preserve"> </w:t>
      </w:r>
      <w:r w:rsidRPr="00F2239D">
        <w:rPr>
          <w:rFonts w:ascii="Times New Roman" w:hAnsi="Times New Roman" w:cs="Times New Roman"/>
          <w:i/>
        </w:rPr>
        <w:t>Holmes</w:t>
      </w:r>
      <w:r w:rsidR="00AA29FD" w:rsidRPr="00F2239D">
        <w:rPr>
          <w:rFonts w:ascii="Times New Roman" w:hAnsi="Times New Roman" w:cs="Times New Roman"/>
        </w:rPr>
        <w:t xml:space="preserve">, 155 A.3d at </w:t>
      </w:r>
      <w:r w:rsidR="00AA29FD" w:rsidRPr="001C53CE">
        <w:rPr>
          <w:rFonts w:ascii="Times New Roman" w:hAnsi="Times New Roman" w:cs="Times New Roman"/>
        </w:rPr>
        <w:t>86-87.</w:t>
      </w:r>
    </w:p>
  </w:footnote>
  <w:footnote w:id="5">
    <w:p w14:paraId="07747ECE" w14:textId="056F8076" w:rsidR="00657ED0" w:rsidRPr="007A3E14" w:rsidRDefault="00657ED0">
      <w:pPr>
        <w:pStyle w:val="FootnoteText"/>
        <w:rPr>
          <w:rFonts w:ascii="Times New Roman" w:hAnsi="Times New Roman" w:cs="Times New Roman"/>
        </w:rPr>
      </w:pPr>
      <w:r w:rsidRPr="001C53CE">
        <w:rPr>
          <w:rStyle w:val="FootnoteReference"/>
          <w:rFonts w:ascii="Times New Roman" w:hAnsi="Times New Roman" w:cs="Times New Roman"/>
        </w:rPr>
        <w:footnoteRef/>
      </w:r>
      <w:r w:rsidRPr="001C53CE">
        <w:rPr>
          <w:rFonts w:ascii="Times New Roman" w:hAnsi="Times New Roman" w:cs="Times New Roman"/>
        </w:rPr>
        <w:t xml:space="preserve"> </w:t>
      </w:r>
      <w:r w:rsidRPr="001C53CE">
        <w:rPr>
          <w:rFonts w:ascii="Times New Roman" w:hAnsi="Times New Roman" w:cs="Times New Roman"/>
          <w:i/>
        </w:rPr>
        <w:t>Commonwealth v. Rivera</w:t>
      </w:r>
      <w:r w:rsidRPr="001C53CE">
        <w:rPr>
          <w:rFonts w:ascii="Times New Roman" w:hAnsi="Times New Roman" w:cs="Times New Roman"/>
        </w:rPr>
        <w:t xml:space="preserve">, 95 A.3d 913, 917 (Pa. Super. Ct. 2014). </w:t>
      </w:r>
      <w:r w:rsidR="007A3E14" w:rsidRPr="001C53CE">
        <w:rPr>
          <w:rFonts w:ascii="Times New Roman" w:hAnsi="Times New Roman" w:cs="Times New Roman"/>
          <w:i/>
        </w:rPr>
        <w:t>See also Commonwealth v. Hudson</w:t>
      </w:r>
      <w:r w:rsidR="007A3E14" w:rsidRPr="001C53CE">
        <w:rPr>
          <w:rFonts w:ascii="Times New Roman" w:hAnsi="Times New Roman" w:cs="Times New Roman"/>
        </w:rPr>
        <w:t xml:space="preserve">, 231 A.3d 974, 980-81 (Pa. Super. Ct. 2020 </w:t>
      </w:r>
      <w:r w:rsidR="001C53CE" w:rsidRPr="001C53CE">
        <w:rPr>
          <w:rFonts w:ascii="Times New Roman" w:hAnsi="Times New Roman" w:cs="Times New Roman"/>
        </w:rPr>
        <w:t xml:space="preserve">(“It is clear from our reading of </w:t>
      </w:r>
      <w:r w:rsidR="001C53CE" w:rsidRPr="001C53CE">
        <w:rPr>
          <w:rFonts w:ascii="Times New Roman" w:hAnsi="Times New Roman" w:cs="Times New Roman"/>
          <w:i/>
        </w:rPr>
        <w:t>Rivera</w:t>
      </w:r>
      <w:r w:rsidR="001C53CE" w:rsidRPr="001C53CE">
        <w:rPr>
          <w:rFonts w:ascii="Times New Roman" w:hAnsi="Times New Roman" w:cs="Times New Roman"/>
        </w:rPr>
        <w:t xml:space="preserve"> that court costs do not reasonably relate to the rehabilitation that probation is designed to foster, and thus, cannot be subsumed within the catchall provision of Section 9754. . . Section 9754 does not authorize the imposition of court costs as a condition of probation”).</w:t>
      </w:r>
      <w:r w:rsidR="007A3E14">
        <w:rPr>
          <w:rFonts w:ascii="Times New Roman" w:hAnsi="Times New Roman" w:cs="Times New Roman"/>
        </w:rPr>
        <w:t xml:space="preserve"> The only possible exception is probation supervision fees, since the statute imposing that cost seems, on its face, to make payment a “condition of supervision.” </w:t>
      </w:r>
      <w:r w:rsidR="007A3E14" w:rsidRPr="00F2239D">
        <w:rPr>
          <w:rFonts w:ascii="Times New Roman" w:hAnsi="Times New Roman" w:cs="Times New Roman"/>
        </w:rPr>
        <w:t>18 P.S. 11.1102(c).</w:t>
      </w:r>
      <w:r w:rsidR="007A3E14">
        <w:rPr>
          <w:rFonts w:ascii="Times New Roman" w:hAnsi="Times New Roman" w:cs="Times New Roman"/>
        </w:rPr>
        <w:t xml:space="preserve"> Nevertheless, the defendant in </w:t>
      </w:r>
      <w:r w:rsidR="007A3E14">
        <w:rPr>
          <w:rFonts w:ascii="Times New Roman" w:hAnsi="Times New Roman" w:cs="Times New Roman"/>
          <w:i/>
        </w:rPr>
        <w:t>Hudson</w:t>
      </w:r>
      <w:r w:rsidR="007A3E14">
        <w:rPr>
          <w:rFonts w:ascii="Times New Roman" w:hAnsi="Times New Roman" w:cs="Times New Roman"/>
        </w:rPr>
        <w:t xml:space="preserve"> did owe supervision fees and the court did not draw any distinction between those and other cos</w:t>
      </w:r>
      <w:r w:rsidR="00A21889">
        <w:rPr>
          <w:rFonts w:ascii="Times New Roman" w:hAnsi="Times New Roman" w:cs="Times New Roman"/>
        </w:rPr>
        <w:t>ts, suggesting that the costs of probation supervision are no different.</w:t>
      </w:r>
    </w:p>
  </w:footnote>
  <w:footnote w:id="6">
    <w:p w14:paraId="12D57816" w14:textId="2F3CA79E" w:rsidR="00D33E5F" w:rsidRPr="002C1402" w:rsidRDefault="00D33E5F">
      <w:pPr>
        <w:pStyle w:val="FootnoteText"/>
        <w:rPr>
          <w:rFonts w:ascii="Times New Roman" w:hAnsi="Times New Roman" w:cs="Times New Roman"/>
        </w:rPr>
      </w:pPr>
      <w:r w:rsidRPr="00F2239D">
        <w:rPr>
          <w:rStyle w:val="FootnoteReference"/>
          <w:rFonts w:ascii="Times New Roman" w:hAnsi="Times New Roman" w:cs="Times New Roman"/>
        </w:rPr>
        <w:footnoteRef/>
      </w:r>
      <w:r w:rsidRPr="00F2239D">
        <w:rPr>
          <w:rFonts w:ascii="Times New Roman" w:hAnsi="Times New Roman" w:cs="Times New Roman"/>
        </w:rPr>
        <w:t xml:space="preserve"> </w:t>
      </w:r>
      <w:r w:rsidRPr="00F2239D">
        <w:rPr>
          <w:rFonts w:ascii="Times New Roman" w:hAnsi="Times New Roman" w:cs="Times New Roman"/>
          <w:i/>
        </w:rPr>
        <w:t>Commonwealth ex rel. Powell v. Rosenberry</w:t>
      </w:r>
      <w:r w:rsidRPr="00F2239D">
        <w:rPr>
          <w:rFonts w:ascii="Times New Roman" w:hAnsi="Times New Roman" w:cs="Times New Roman"/>
        </w:rPr>
        <w:t>, 645 A.2d 1328, 1331 (Pa. Super. Ct. 1994).</w:t>
      </w:r>
      <w:r w:rsidR="002C1402">
        <w:rPr>
          <w:rFonts w:ascii="Times New Roman" w:hAnsi="Times New Roman" w:cs="Times New Roman"/>
        </w:rPr>
        <w:t xml:space="preserve"> </w:t>
      </w:r>
      <w:r w:rsidR="002C1402">
        <w:rPr>
          <w:rFonts w:ascii="Times New Roman" w:hAnsi="Times New Roman" w:cs="Times New Roman"/>
          <w:i/>
        </w:rPr>
        <w:t>See also Hudak v. Board of Probation and Parole</w:t>
      </w:r>
      <w:r w:rsidR="002C1402">
        <w:rPr>
          <w:rFonts w:ascii="Times New Roman" w:hAnsi="Times New Roman" w:cs="Times New Roman"/>
        </w:rPr>
        <w:t xml:space="preserve">, 757 A.2d 439, 442 (Pa. Commw. Ct. 2000) (citing to </w:t>
      </w:r>
      <w:r w:rsidR="002C1402">
        <w:rPr>
          <w:rFonts w:ascii="Times New Roman" w:hAnsi="Times New Roman" w:cs="Times New Roman"/>
          <w:i/>
        </w:rPr>
        <w:t>Bearden, Eggers</w:t>
      </w:r>
      <w:r w:rsidR="002C1402">
        <w:rPr>
          <w:rFonts w:ascii="Times New Roman" w:hAnsi="Times New Roman" w:cs="Times New Roman"/>
        </w:rPr>
        <w:t xml:space="preserve">, and </w:t>
      </w:r>
      <w:r w:rsidR="002C1402">
        <w:rPr>
          <w:rFonts w:ascii="Times New Roman" w:hAnsi="Times New Roman" w:cs="Times New Roman"/>
          <w:i/>
        </w:rPr>
        <w:t>Dorsey</w:t>
      </w:r>
      <w:r w:rsidR="002C1402">
        <w:rPr>
          <w:rFonts w:ascii="Times New Roman" w:hAnsi="Times New Roman" w:cs="Times New Roman"/>
        </w:rPr>
        <w:t xml:space="preserve"> and reasoning that “</w:t>
      </w:r>
      <w:r w:rsidR="002C1402" w:rsidRPr="002C1402">
        <w:rPr>
          <w:rFonts w:ascii="Times New Roman" w:hAnsi="Times New Roman" w:cs="Times New Roman"/>
        </w:rPr>
        <w:t>An examination of fault must be made before probation is revoked</w:t>
      </w:r>
      <w:r w:rsidR="002C1402">
        <w:rPr>
          <w:rFonts w:ascii="Times New Roman" w:hAnsi="Times New Roman" w:cs="Times New Roman"/>
        </w:rPr>
        <w:t>” because “</w:t>
      </w:r>
      <w:r w:rsidR="002C1402" w:rsidRPr="002C1402">
        <w:rPr>
          <w:rFonts w:ascii="Times New Roman" w:hAnsi="Times New Roman" w:cs="Times New Roman"/>
        </w:rPr>
        <w:t>the Board must show that the petitioner was somewhat at fault in order to prove a violation.</w:t>
      </w:r>
      <w:r w:rsidR="002C1402">
        <w:rPr>
          <w:rFonts w:ascii="Times New Roman" w:hAnsi="Times New Roman" w:cs="Times New Roman"/>
        </w:rPr>
        <w:t>”</w:t>
      </w:r>
      <w:r w:rsidR="001A3A8D">
        <w:rPr>
          <w:rFonts w:ascii="Times New Roman" w:hAnsi="Times New Roman" w:cs="Times New Roman"/>
        </w:rPr>
        <w:t xml:space="preserve">); </w:t>
      </w:r>
      <w:r w:rsidR="001A3A8D">
        <w:rPr>
          <w:rFonts w:ascii="Times New Roman" w:hAnsi="Times New Roman" w:cs="Times New Roman"/>
          <w:i/>
        </w:rPr>
        <w:t>Miller v. Board of Probation and Parole</w:t>
      </w:r>
      <w:r w:rsidR="001A3A8D">
        <w:rPr>
          <w:rFonts w:ascii="Times New Roman" w:hAnsi="Times New Roman" w:cs="Times New Roman"/>
        </w:rPr>
        <w:t>, 784 A.2d 246, 248 (Pa. Commw. Ct. 2001)</w:t>
      </w:r>
      <w:r w:rsidR="001A3A8D">
        <w:rPr>
          <w:rFonts w:ascii="Times New Roman" w:hAnsi="Times New Roman" w:cs="Times New Roman"/>
        </w:rPr>
        <w:t xml:space="preserve"> (explaining that a parolee commits a technical violation only if he is either able to pay, or is unable to pay and has not made bona fid efforts to obtain the </w:t>
      </w:r>
      <w:r w:rsidR="007355EF">
        <w:rPr>
          <w:rFonts w:ascii="Times New Roman" w:hAnsi="Times New Roman" w:cs="Times New Roman"/>
        </w:rPr>
        <w:t>resources to pay).</w:t>
      </w:r>
      <w:bookmarkStart w:id="0" w:name="_GoBack"/>
      <w:bookmarkEnd w:id="0"/>
    </w:p>
  </w:footnote>
  <w:footnote w:id="7">
    <w:p w14:paraId="611813A3" w14:textId="77777777" w:rsidR="007C4C16" w:rsidRPr="00F2239D" w:rsidRDefault="007C4C16" w:rsidP="007C4C16">
      <w:pPr>
        <w:pStyle w:val="FootnoteText"/>
        <w:rPr>
          <w:rFonts w:ascii="Times New Roman" w:hAnsi="Times New Roman" w:cs="Times New Roman"/>
        </w:rPr>
      </w:pPr>
      <w:r w:rsidRPr="00F2239D">
        <w:rPr>
          <w:rStyle w:val="FootnoteReference"/>
          <w:rFonts w:ascii="Times New Roman" w:hAnsi="Times New Roman" w:cs="Times New Roman"/>
        </w:rPr>
        <w:footnoteRef/>
      </w:r>
      <w:r w:rsidRPr="00F2239D">
        <w:rPr>
          <w:rFonts w:ascii="Times New Roman" w:hAnsi="Times New Roman" w:cs="Times New Roman"/>
        </w:rPr>
        <w:t xml:space="preserve"> </w:t>
      </w:r>
      <w:r w:rsidRPr="00F2239D">
        <w:rPr>
          <w:rFonts w:ascii="Times New Roman" w:hAnsi="Times New Roman" w:cs="Times New Roman"/>
          <w:i/>
        </w:rPr>
        <w:t>Commonwealth v. Mauk</w:t>
      </w:r>
      <w:r w:rsidRPr="00F2239D">
        <w:rPr>
          <w:rFonts w:ascii="Times New Roman" w:hAnsi="Times New Roman" w:cs="Times New Roman"/>
        </w:rPr>
        <w:t xml:space="preserve">, 185 A.3d 406, 411 (Pa. Super. 2018). </w:t>
      </w:r>
      <w:r w:rsidRPr="00F2239D">
        <w:rPr>
          <w:rFonts w:ascii="Times New Roman" w:hAnsi="Times New Roman" w:cs="Times New Roman"/>
          <w:i/>
        </w:rPr>
        <w:t>See also Commonwealth v. Diaz</w:t>
      </w:r>
      <w:r w:rsidRPr="00F2239D">
        <w:rPr>
          <w:rFonts w:ascii="Times New Roman" w:hAnsi="Times New Roman" w:cs="Times New Roman"/>
        </w:rPr>
        <w:t xml:space="preserve">, 2018 PA Super 175 (Pa. Super. Ct. 2018) (trial court failed to make required finding that the defendant “had the present financial ability to pay the outstanding fines and costs such that imprisonment was warranted”); </w:t>
      </w:r>
      <w:r w:rsidRPr="00F2239D">
        <w:rPr>
          <w:rFonts w:ascii="Times New Roman" w:hAnsi="Times New Roman" w:cs="Times New Roman"/>
          <w:i/>
        </w:rPr>
        <w:t>Commonwealth v. Smetana</w:t>
      </w:r>
      <w:r w:rsidRPr="00F2239D">
        <w:rPr>
          <w:rFonts w:ascii="Times New Roman" w:hAnsi="Times New Roman" w:cs="Times New Roman"/>
        </w:rPr>
        <w:t>, 2018 PA Super 176 (Pa. Super. Ct. 2018) (court improperly imputed family member’s financial resources on defendant).</w:t>
      </w:r>
    </w:p>
  </w:footnote>
  <w:footnote w:id="8">
    <w:p w14:paraId="455FDE28" w14:textId="77777777" w:rsidR="007C4C16" w:rsidRPr="00F2239D" w:rsidRDefault="007C4C16" w:rsidP="007C4C16">
      <w:pPr>
        <w:pStyle w:val="FootnoteText"/>
        <w:rPr>
          <w:rFonts w:ascii="Times New Roman" w:hAnsi="Times New Roman" w:cs="Times New Roman"/>
        </w:rPr>
      </w:pPr>
      <w:r w:rsidRPr="00F2239D">
        <w:rPr>
          <w:rStyle w:val="FootnoteReference"/>
          <w:rFonts w:ascii="Times New Roman" w:hAnsi="Times New Roman" w:cs="Times New Roman"/>
        </w:rPr>
        <w:footnoteRef/>
      </w:r>
      <w:r w:rsidRPr="00F2239D">
        <w:rPr>
          <w:rFonts w:ascii="Times New Roman" w:hAnsi="Times New Roman" w:cs="Times New Roman"/>
        </w:rPr>
        <w:t xml:space="preserve"> </w:t>
      </w:r>
      <w:r w:rsidRPr="00F2239D">
        <w:rPr>
          <w:rFonts w:ascii="Times New Roman" w:hAnsi="Times New Roman" w:cs="Times New Roman"/>
          <w:i/>
        </w:rPr>
        <w:t>Id</w:t>
      </w:r>
      <w:r w:rsidRPr="00F2239D">
        <w:rPr>
          <w:rFonts w:ascii="Times New Roman" w:hAnsi="Times New Roman" w:cs="Times New Roman"/>
        </w:rPr>
        <w:t>.</w:t>
      </w:r>
    </w:p>
  </w:footnote>
  <w:footnote w:id="9">
    <w:p w14:paraId="26D1E268" w14:textId="77777777" w:rsidR="007C4C16" w:rsidRPr="00F2239D" w:rsidRDefault="007C4C16" w:rsidP="007C4C16">
      <w:pPr>
        <w:pStyle w:val="FootnoteText"/>
        <w:rPr>
          <w:rFonts w:ascii="Times New Roman" w:hAnsi="Times New Roman" w:cs="Times New Roman"/>
        </w:rPr>
      </w:pPr>
      <w:r w:rsidRPr="00F2239D">
        <w:rPr>
          <w:rStyle w:val="FootnoteReference"/>
          <w:rFonts w:ascii="Times New Roman" w:hAnsi="Times New Roman" w:cs="Times New Roman"/>
        </w:rPr>
        <w:footnoteRef/>
      </w:r>
      <w:r w:rsidRPr="00F2239D">
        <w:rPr>
          <w:rFonts w:ascii="Times New Roman" w:hAnsi="Times New Roman" w:cs="Times New Roman"/>
        </w:rPr>
        <w:t xml:space="preserve"> </w:t>
      </w:r>
      <w:r w:rsidRPr="00F2239D">
        <w:rPr>
          <w:rFonts w:ascii="Times New Roman" w:hAnsi="Times New Roman" w:cs="Times New Roman"/>
          <w:i/>
        </w:rPr>
        <w:t>Diaz</w:t>
      </w:r>
      <w:r w:rsidRPr="00F2239D">
        <w:rPr>
          <w:rFonts w:ascii="Times New Roman" w:hAnsi="Times New Roman" w:cs="Times New Roman"/>
        </w:rPr>
        <w:t>, 2018 PA Super 175 at n.24.</w:t>
      </w:r>
    </w:p>
  </w:footnote>
  <w:footnote w:id="10">
    <w:p w14:paraId="58B9E72B" w14:textId="77777777" w:rsidR="007C4C16" w:rsidRPr="00F2239D" w:rsidRDefault="007C4C16" w:rsidP="007C4C16">
      <w:pPr>
        <w:pStyle w:val="FootnoteText"/>
        <w:rPr>
          <w:rFonts w:ascii="Times New Roman" w:hAnsi="Times New Roman" w:cs="Times New Roman"/>
        </w:rPr>
      </w:pPr>
      <w:r w:rsidRPr="00F2239D">
        <w:rPr>
          <w:rStyle w:val="FootnoteReference"/>
          <w:rFonts w:ascii="Times New Roman" w:hAnsi="Times New Roman" w:cs="Times New Roman"/>
        </w:rPr>
        <w:footnoteRef/>
      </w:r>
      <w:r w:rsidRPr="00F2239D">
        <w:rPr>
          <w:rFonts w:ascii="Times New Roman" w:hAnsi="Times New Roman" w:cs="Times New Roman"/>
        </w:rPr>
        <w:t xml:space="preserve"> </w:t>
      </w:r>
      <w:r w:rsidRPr="00F2239D">
        <w:rPr>
          <w:rFonts w:ascii="Times New Roman" w:hAnsi="Times New Roman" w:cs="Times New Roman"/>
          <w:i/>
        </w:rPr>
        <w:t>Commonwealth ex rel. Wright v. Hendrick</w:t>
      </w:r>
      <w:r w:rsidRPr="00F2239D">
        <w:rPr>
          <w:rFonts w:ascii="Times New Roman" w:hAnsi="Times New Roman" w:cs="Times New Roman"/>
        </w:rPr>
        <w:t>, 312 A.2d 402, 404 (Pa. 1973).</w:t>
      </w:r>
    </w:p>
  </w:footnote>
  <w:footnote w:id="11">
    <w:p w14:paraId="0586A982" w14:textId="6C72A5A6" w:rsidR="00AF694E" w:rsidRPr="00F2239D" w:rsidRDefault="00AF694E">
      <w:pPr>
        <w:pStyle w:val="FootnoteText"/>
        <w:rPr>
          <w:rFonts w:ascii="Times New Roman" w:hAnsi="Times New Roman" w:cs="Times New Roman"/>
        </w:rPr>
      </w:pPr>
      <w:r w:rsidRPr="00F2239D">
        <w:rPr>
          <w:rStyle w:val="FootnoteReference"/>
          <w:rFonts w:ascii="Times New Roman" w:hAnsi="Times New Roman" w:cs="Times New Roman"/>
        </w:rPr>
        <w:footnoteRef/>
      </w:r>
      <w:r w:rsidRPr="00F2239D">
        <w:rPr>
          <w:rFonts w:ascii="Times New Roman" w:hAnsi="Times New Roman" w:cs="Times New Roman"/>
        </w:rPr>
        <w:t xml:space="preserve"> </w:t>
      </w:r>
      <w:r w:rsidR="00CF0EE5" w:rsidRPr="00F2239D">
        <w:rPr>
          <w:rFonts w:ascii="Times New Roman" w:hAnsi="Times New Roman" w:cs="Times New Roman"/>
          <w:i/>
        </w:rPr>
        <w:t>Commonwealth v. Dorsey</w:t>
      </w:r>
      <w:r w:rsidR="00CF0EE5" w:rsidRPr="00F2239D">
        <w:rPr>
          <w:rFonts w:ascii="Times New Roman" w:hAnsi="Times New Roman" w:cs="Times New Roman"/>
        </w:rPr>
        <w:t>, 476 A.2d 1308, 1311 (Pa. Super. Ct. 1984)</w:t>
      </w:r>
      <w:r w:rsidRPr="00F2239D">
        <w:rPr>
          <w:rFonts w:ascii="Times New Roman" w:hAnsi="Times New Roman" w:cs="Times New Roman"/>
        </w:rPr>
        <w:t xml:space="preserve"> (“The Commonwealth in each probation or parole revocation proceeding must prove by a preponderance of the evidence a violation of such parole,” and probation or parole cannot “be revoked for less than willful conduct.”). </w:t>
      </w:r>
    </w:p>
  </w:footnote>
  <w:footnote w:id="12">
    <w:p w14:paraId="4A82A261" w14:textId="1406A303" w:rsidR="00AA3DDE" w:rsidRPr="002856C8" w:rsidRDefault="00AA3DDE">
      <w:pPr>
        <w:pStyle w:val="FootnoteText"/>
        <w:rPr>
          <w:rFonts w:ascii="Times New Roman" w:hAnsi="Times New Roman" w:cs="Times New Roman"/>
        </w:rPr>
      </w:pPr>
      <w:r w:rsidRPr="00F2239D">
        <w:rPr>
          <w:rStyle w:val="FootnoteReference"/>
          <w:rFonts w:ascii="Times New Roman" w:hAnsi="Times New Roman" w:cs="Times New Roman"/>
        </w:rPr>
        <w:footnoteRef/>
      </w:r>
      <w:r w:rsidRPr="00F2239D">
        <w:rPr>
          <w:rFonts w:ascii="Times New Roman" w:hAnsi="Times New Roman" w:cs="Times New Roman"/>
        </w:rPr>
        <w:t xml:space="preserve"> </w:t>
      </w:r>
      <w:r w:rsidRPr="00F2239D">
        <w:rPr>
          <w:rFonts w:ascii="Times New Roman" w:hAnsi="Times New Roman" w:cs="Times New Roman"/>
          <w:i/>
        </w:rPr>
        <w:t>Rosenberry</w:t>
      </w:r>
      <w:r w:rsidRPr="00F2239D">
        <w:rPr>
          <w:rFonts w:ascii="Times New Roman" w:hAnsi="Times New Roman" w:cs="Times New Roman"/>
        </w:rPr>
        <w:t xml:space="preserve">, 645 A.2d at 1331 (explaining that “the willful refusal to pay a fine may be considered a technical parole violation for which a parolee may be re-incarcerated”); </w:t>
      </w:r>
      <w:r w:rsidR="00387932" w:rsidRPr="00F2239D">
        <w:rPr>
          <w:rFonts w:ascii="Times New Roman" w:hAnsi="Times New Roman" w:cs="Times New Roman"/>
          <w:i/>
        </w:rPr>
        <w:t>Commonwealth v. Smalls</w:t>
      </w:r>
      <w:r w:rsidR="00387932" w:rsidRPr="00F2239D">
        <w:rPr>
          <w:rFonts w:ascii="Times New Roman" w:hAnsi="Times New Roman" w:cs="Times New Roman"/>
        </w:rPr>
        <w:t>, CP-46-CR-0005242-2013, 2018 WL 4112648</w:t>
      </w:r>
      <w:r w:rsidR="00BE79F7" w:rsidRPr="00F2239D">
        <w:rPr>
          <w:rFonts w:ascii="Times New Roman" w:hAnsi="Times New Roman" w:cs="Times New Roman"/>
        </w:rPr>
        <w:t xml:space="preserve"> at *2</w:t>
      </w:r>
      <w:r w:rsidR="00387932" w:rsidRPr="00F2239D">
        <w:rPr>
          <w:rFonts w:ascii="Times New Roman" w:hAnsi="Times New Roman" w:cs="Times New Roman"/>
        </w:rPr>
        <w:t xml:space="preserve"> (</w:t>
      </w:r>
      <w:r w:rsidR="00A26BD1" w:rsidRPr="00F2239D">
        <w:rPr>
          <w:rFonts w:ascii="Times New Roman" w:hAnsi="Times New Roman" w:cs="Times New Roman"/>
        </w:rPr>
        <w:t>Mont</w:t>
      </w:r>
      <w:r w:rsidR="00CF0EE5" w:rsidRPr="00F2239D">
        <w:rPr>
          <w:rFonts w:ascii="Times New Roman" w:hAnsi="Times New Roman" w:cs="Times New Roman"/>
        </w:rPr>
        <w:t>gomery</w:t>
      </w:r>
      <w:r w:rsidR="00A26BD1" w:rsidRPr="00F2239D">
        <w:rPr>
          <w:rFonts w:ascii="Times New Roman" w:hAnsi="Times New Roman" w:cs="Times New Roman"/>
        </w:rPr>
        <w:t xml:space="preserve"> Co. </w:t>
      </w:r>
      <w:r w:rsidR="00387932" w:rsidRPr="00F2239D">
        <w:rPr>
          <w:rFonts w:ascii="Times New Roman" w:hAnsi="Times New Roman" w:cs="Times New Roman"/>
        </w:rPr>
        <w:t xml:space="preserve">Ct. Com. Pleas Aug. 7, 2018) (defendant who cannot “meet his basic life needs and still have money to pay . . . cannot be found to </w:t>
      </w:r>
      <w:r w:rsidR="00B42CCF">
        <w:rPr>
          <w:rFonts w:ascii="Times New Roman" w:hAnsi="Times New Roman" w:cs="Times New Roman"/>
        </w:rPr>
        <w:t xml:space="preserve">be in violation of his parole); </w:t>
      </w:r>
      <w:r w:rsidR="00B42CCF">
        <w:rPr>
          <w:rFonts w:ascii="Times New Roman" w:hAnsi="Times New Roman" w:cs="Times New Roman"/>
          <w:i/>
        </w:rPr>
        <w:t>Commonwealth v. Keeno</w:t>
      </w:r>
      <w:r w:rsidR="00B42CCF">
        <w:rPr>
          <w:rFonts w:ascii="Times New Roman" w:hAnsi="Times New Roman" w:cs="Times New Roman"/>
        </w:rPr>
        <w:t>, 1763 WDA 2019, 2020 WL 2571191 (Pa. Super. Ct. May 21, 2020) (unpublished) (“</w:t>
      </w:r>
      <w:r w:rsidR="00B42CCF" w:rsidRPr="00B42CCF">
        <w:rPr>
          <w:rFonts w:ascii="Times New Roman" w:hAnsi="Times New Roman" w:cs="Times New Roman"/>
        </w:rPr>
        <w:t>Appellant challenges whether the trial court erred by revoking his parole without making a finding of fact that he had the financial ability to pay these obligations. As we agree that the trial court erred, we vacate the judgment of sentence below and remand for a new hearing at which the trial court must render appropriate findings on Appellant's financial ability to pay outstanding costs, fees, and fines.</w:t>
      </w:r>
      <w:r w:rsidR="00B42CCF">
        <w:rPr>
          <w:rFonts w:ascii="Times New Roman" w:hAnsi="Times New Roman" w:cs="Times New Roman"/>
        </w:rPr>
        <w:t xml:space="preserve">”). </w:t>
      </w:r>
      <w:r w:rsidR="002856C8">
        <w:rPr>
          <w:rFonts w:ascii="Times New Roman" w:hAnsi="Times New Roman" w:cs="Times New Roman"/>
        </w:rPr>
        <w:t xml:space="preserve">While the opinion could have been clearer on this point, </w:t>
      </w:r>
      <w:r w:rsidR="00566EE8">
        <w:rPr>
          <w:rFonts w:ascii="Times New Roman" w:hAnsi="Times New Roman" w:cs="Times New Roman"/>
          <w:i/>
        </w:rPr>
        <w:t>Keeno</w:t>
      </w:r>
      <w:r w:rsidR="002856C8">
        <w:rPr>
          <w:rFonts w:ascii="Times New Roman" w:hAnsi="Times New Roman" w:cs="Times New Roman"/>
        </w:rPr>
        <w:t xml:space="preserve"> is reasonably straightforward that absent sufficient evidence that nonpayment was intentional, there can be no revocation. </w:t>
      </w:r>
      <w:r w:rsidR="002856C8">
        <w:rPr>
          <w:rFonts w:ascii="Times New Roman" w:hAnsi="Times New Roman" w:cs="Times New Roman"/>
          <w:i/>
        </w:rPr>
        <w:t>Id</w:t>
      </w:r>
      <w:r w:rsidR="002856C8">
        <w:rPr>
          <w:rFonts w:ascii="Times New Roman" w:hAnsi="Times New Roman" w:cs="Times New Roman"/>
        </w:rPr>
        <w:t>. (“[I]</w:t>
      </w:r>
      <w:r w:rsidR="002856C8" w:rsidRPr="002856C8">
        <w:rPr>
          <w:rFonts w:ascii="Times New Roman" w:hAnsi="Times New Roman" w:cs="Times New Roman"/>
        </w:rPr>
        <w:t>f the court concludes that Appellant did not have sufficient financial resources, it must then analyze whether the other two violations that it found were enough in combination to support revocation of Appellant's parole.</w:t>
      </w:r>
      <w:r w:rsidR="002856C8">
        <w:rPr>
          <w:rFonts w:ascii="Times New Roman" w:hAnsi="Times New Roman" w:cs="Times New Roman"/>
        </w:rPr>
        <w:t xml:space="preserve">”). </w:t>
      </w:r>
    </w:p>
  </w:footnote>
  <w:footnote w:id="13">
    <w:p w14:paraId="36A71DC8" w14:textId="41E930A5" w:rsidR="00F2239D" w:rsidRPr="00405207" w:rsidRDefault="00F2239D">
      <w:pPr>
        <w:pStyle w:val="FootnoteText"/>
        <w:rPr>
          <w:rFonts w:ascii="Times New Roman" w:hAnsi="Times New Roman" w:cs="Times New Roman"/>
        </w:rPr>
      </w:pPr>
      <w:r w:rsidRPr="00F2239D">
        <w:rPr>
          <w:rStyle w:val="FootnoteReference"/>
          <w:rFonts w:ascii="Times New Roman" w:hAnsi="Times New Roman" w:cs="Times New Roman"/>
        </w:rPr>
        <w:footnoteRef/>
      </w:r>
      <w:r w:rsidRPr="00F2239D">
        <w:rPr>
          <w:rFonts w:ascii="Times New Roman" w:hAnsi="Times New Roman" w:cs="Times New Roman"/>
        </w:rPr>
        <w:t xml:space="preserve"> </w:t>
      </w:r>
      <w:r w:rsidRPr="00F2239D">
        <w:rPr>
          <w:rFonts w:ascii="Times New Roman" w:hAnsi="Times New Roman" w:cs="Times New Roman"/>
          <w:i/>
        </w:rPr>
        <w:t>Commonwealth v. Cooper</w:t>
      </w:r>
      <w:r w:rsidRPr="00F2239D">
        <w:rPr>
          <w:rFonts w:ascii="Times New Roman" w:hAnsi="Times New Roman" w:cs="Times New Roman"/>
        </w:rPr>
        <w:t>, 2495 EDA 2019</w:t>
      </w:r>
      <w:r>
        <w:rPr>
          <w:rFonts w:ascii="Times New Roman" w:hAnsi="Times New Roman" w:cs="Times New Roman"/>
        </w:rPr>
        <w:t xml:space="preserve">, </w:t>
      </w:r>
      <w:r w:rsidRPr="00F2239D">
        <w:rPr>
          <w:rFonts w:ascii="Times New Roman" w:hAnsi="Times New Roman" w:cs="Times New Roman"/>
        </w:rPr>
        <w:t>2020 WL 4218861</w:t>
      </w:r>
      <w:r>
        <w:rPr>
          <w:rFonts w:ascii="Times New Roman" w:hAnsi="Times New Roman" w:cs="Times New Roman"/>
        </w:rPr>
        <w:t xml:space="preserve"> (Pa. Super. Ct. 2020) (unpublished) </w:t>
      </w:r>
      <w:r w:rsidR="00C95403">
        <w:rPr>
          <w:rFonts w:ascii="Times New Roman" w:hAnsi="Times New Roman" w:cs="Times New Roman"/>
        </w:rPr>
        <w:t>(“</w:t>
      </w:r>
      <w:r w:rsidR="00C95403" w:rsidRPr="00C95403">
        <w:rPr>
          <w:rFonts w:ascii="Times New Roman" w:hAnsi="Times New Roman" w:cs="Times New Roman"/>
        </w:rPr>
        <w:t>Appellant stipulated to multiple violations of his parole in addition to his failure to pay his financial obligations, all of which the court took into consideration in resentencing Appellant.</w:t>
      </w:r>
      <w:r w:rsidR="00C95403">
        <w:rPr>
          <w:rFonts w:ascii="Times New Roman" w:hAnsi="Times New Roman" w:cs="Times New Roman"/>
        </w:rPr>
        <w:t xml:space="preserve"> . . . </w:t>
      </w:r>
      <w:r w:rsidR="00C95403" w:rsidRPr="00C95403">
        <w:rPr>
          <w:rFonts w:ascii="Times New Roman" w:hAnsi="Times New Roman" w:cs="Times New Roman"/>
        </w:rPr>
        <w:t>We nevertheless agree that to the extent Appellant's failure to pay his financial obligations factored into the court's reasoning in any way, Appellant was entitled to an ability-to-pay hearing.</w:t>
      </w:r>
      <w:r w:rsidR="00C95403">
        <w:rPr>
          <w:rFonts w:ascii="Times New Roman" w:hAnsi="Times New Roman" w:cs="Times New Roman"/>
        </w:rPr>
        <w:t xml:space="preserve">”). </w:t>
      </w:r>
      <w:r w:rsidR="00405207">
        <w:rPr>
          <w:rFonts w:ascii="Times New Roman" w:hAnsi="Times New Roman" w:cs="Times New Roman"/>
          <w:i/>
        </w:rPr>
        <w:t>See also Commonwealth v. Keeno</w:t>
      </w:r>
      <w:r w:rsidR="00405207">
        <w:rPr>
          <w:rFonts w:ascii="Times New Roman" w:hAnsi="Times New Roman" w:cs="Times New Roman"/>
        </w:rPr>
        <w:t>, 1763 WDA 2019, 2020 WL 2571191 (Pa. Super. Ct. May 21, 2020) (“</w:t>
      </w:r>
      <w:r w:rsidR="00405207" w:rsidRPr="00405207">
        <w:rPr>
          <w:rFonts w:ascii="Times New Roman" w:hAnsi="Times New Roman" w:cs="Times New Roman"/>
        </w:rPr>
        <w:t>Furthermore, Appellant's nonpayment of financial obligations was one of three reasons articulated by the trial court for revoking his parole. Consequently, after the trial court determines whether Appellant was able or unable to pay his financial obligations, it must then re-evaluate its decision to revoke Appellant's parole – e.g., if the court concludes that Appellant did not have sufficient financial resources, it must then analyze whether the other two violations that it found were enough in combination to support revocation of Appellant's parole.</w:t>
      </w:r>
      <w:r w:rsidR="00405207">
        <w:rPr>
          <w:rFonts w:ascii="Times New Roman" w:hAnsi="Times New Roman" w:cs="Times New Roman"/>
        </w:rPr>
        <w:t xml:space="preserve">”). </w:t>
      </w:r>
    </w:p>
  </w:footnote>
  <w:footnote w:id="14">
    <w:p w14:paraId="1FEACCE6" w14:textId="5E0BFEF8" w:rsidR="00795A98" w:rsidRPr="00F2239D" w:rsidRDefault="00795A98" w:rsidP="00795A98">
      <w:pPr>
        <w:pStyle w:val="FootnoteText"/>
        <w:rPr>
          <w:rFonts w:ascii="Times New Roman" w:hAnsi="Times New Roman" w:cs="Times New Roman"/>
        </w:rPr>
      </w:pPr>
      <w:r w:rsidRPr="00F2239D">
        <w:rPr>
          <w:rStyle w:val="FootnoteReference"/>
          <w:rFonts w:ascii="Times New Roman" w:hAnsi="Times New Roman" w:cs="Times New Roman"/>
        </w:rPr>
        <w:footnoteRef/>
      </w:r>
      <w:r w:rsidRPr="00F2239D">
        <w:rPr>
          <w:rFonts w:ascii="Times New Roman" w:hAnsi="Times New Roman" w:cs="Times New Roman"/>
        </w:rPr>
        <w:t xml:space="preserve"> </w:t>
      </w:r>
      <w:r w:rsidRPr="00F2239D">
        <w:rPr>
          <w:rFonts w:ascii="Times New Roman" w:hAnsi="Times New Roman" w:cs="Times New Roman"/>
          <w:i/>
        </w:rPr>
        <w:t>Dorsey</w:t>
      </w:r>
      <w:r w:rsidRPr="00F2239D">
        <w:rPr>
          <w:rFonts w:ascii="Times New Roman" w:hAnsi="Times New Roman" w:cs="Times New Roman"/>
        </w:rPr>
        <w:t xml:space="preserve">, 476 A.2d at 1312 (“even when the defendant fails to “offer any evidence concerning his indigency,” a trial court unconstitutionally revokes probation or parole if it does not “inquire into the reasons for appellant's failure to pay or . . . make any findings pertaining to the willfulness of appellant's omission as required by Bearden”). </w:t>
      </w:r>
      <w:r w:rsidR="00683A40" w:rsidRPr="002C1402">
        <w:rPr>
          <w:rFonts w:ascii="Times New Roman" w:hAnsi="Times New Roman" w:cs="Times New Roman"/>
        </w:rPr>
        <w:t>That said, there is tension between the Superior Court’s rulings interpreting the U.S. Supreme Court’s decision in Bearden and the Commonwealth Court’s case law, namely that the Commonwealth Court appears to place a burden on defendants to raise inability to pay as an affirmative defense, whereas the Superior Court puts the obligation on the court to inquire. The Superior Court likely has the better interpretation in light of the plain language of Bearden.</w:t>
      </w:r>
      <w:r w:rsidR="00683A40">
        <w:rPr>
          <w:rFonts w:ascii="Times New Roman" w:hAnsi="Times New Roman" w:cs="Times New Roman"/>
        </w:rPr>
        <w:t xml:space="preserve"> </w:t>
      </w:r>
      <w:r w:rsidR="00683A40">
        <w:rPr>
          <w:rFonts w:ascii="Times New Roman" w:hAnsi="Times New Roman" w:cs="Times New Roman"/>
          <w:i/>
        </w:rPr>
        <w:t>See Miller v. Board of Probation and Parole</w:t>
      </w:r>
      <w:r w:rsidR="00683A40">
        <w:rPr>
          <w:rFonts w:ascii="Times New Roman" w:hAnsi="Times New Roman" w:cs="Times New Roman"/>
        </w:rPr>
        <w:t xml:space="preserve">, 784 A.2d 246, 248 (Pa. Commw. Ct. 2001) (“[W]e </w:t>
      </w:r>
      <w:r w:rsidR="00683A40" w:rsidRPr="0029128E">
        <w:rPr>
          <w:rFonts w:ascii="Times New Roman" w:hAnsi="Times New Roman" w:cs="Times New Roman"/>
        </w:rPr>
        <w:t>hold that where a technical violation of parole arises because of a failure to pay for treatment, then the burden is on the parolee to demonstrate his inability to pay. Upon proof of this inability, the burden then shifts to the Board to prove that the parolee was somewhat at fault by failing to take sufficient bona fide efforts to acquire or save the necessary resources to pay for treatment.</w:t>
      </w:r>
      <w:r w:rsidR="00683A40">
        <w:rPr>
          <w:rFonts w:ascii="Times New Roman" w:hAnsi="Times New Roman" w:cs="Times New Roman"/>
        </w:rPr>
        <w:t>”). Even with this burden-shifting framework, the</w:t>
      </w:r>
      <w:r w:rsidR="00683A40">
        <w:rPr>
          <w:rFonts w:ascii="Times New Roman" w:hAnsi="Times New Roman" w:cs="Times New Roman"/>
        </w:rPr>
        <w:t xml:space="preserve"> cases are all consistent that a person who cannot pay does not </w:t>
      </w:r>
      <w:r w:rsidR="008F6861">
        <w:rPr>
          <w:rFonts w:ascii="Times New Roman" w:hAnsi="Times New Roman" w:cs="Times New Roman"/>
        </w:rPr>
        <w:t xml:space="preserve">commit a technical violation. </w:t>
      </w:r>
      <w:r w:rsidR="00683A40">
        <w:rPr>
          <w:rFonts w:ascii="Times New Roman" w:hAnsi="Times New Roman" w:cs="Times New Roman"/>
        </w:rPr>
        <w:t xml:space="preserve"> </w:t>
      </w:r>
    </w:p>
  </w:footnote>
  <w:footnote w:id="15">
    <w:p w14:paraId="2CBAC8A7" w14:textId="53C03A25" w:rsidR="002C6D14" w:rsidRPr="0029128E" w:rsidRDefault="002C6D14">
      <w:pPr>
        <w:pStyle w:val="FootnoteText"/>
        <w:rPr>
          <w:rFonts w:ascii="Times New Roman" w:hAnsi="Times New Roman" w:cs="Times New Roman"/>
        </w:rPr>
      </w:pPr>
      <w:r w:rsidRPr="00F2239D">
        <w:rPr>
          <w:rStyle w:val="FootnoteReference"/>
          <w:rFonts w:ascii="Times New Roman" w:hAnsi="Times New Roman" w:cs="Times New Roman"/>
        </w:rPr>
        <w:footnoteRef/>
      </w:r>
      <w:r w:rsidR="00795A98" w:rsidRPr="00F2239D">
        <w:rPr>
          <w:rFonts w:ascii="Times New Roman" w:hAnsi="Times New Roman" w:cs="Times New Roman"/>
        </w:rPr>
        <w:t xml:space="preserve"> </w:t>
      </w:r>
      <w:r w:rsidRPr="00F2239D">
        <w:rPr>
          <w:rFonts w:ascii="Times New Roman" w:hAnsi="Times New Roman" w:cs="Times New Roman"/>
          <w:i/>
        </w:rPr>
        <w:t>Dorsey</w:t>
      </w:r>
      <w:r w:rsidRPr="00F2239D">
        <w:rPr>
          <w:rFonts w:ascii="Times New Roman" w:hAnsi="Times New Roman" w:cs="Times New Roman"/>
        </w:rPr>
        <w:t xml:space="preserve">, 476 A.2d </w:t>
      </w:r>
      <w:r w:rsidR="00CF0EE5" w:rsidRPr="00F2239D">
        <w:rPr>
          <w:rFonts w:ascii="Times New Roman" w:hAnsi="Times New Roman" w:cs="Times New Roman"/>
        </w:rPr>
        <w:t>at</w:t>
      </w:r>
      <w:r w:rsidR="00A514CB" w:rsidRPr="00F2239D">
        <w:rPr>
          <w:rFonts w:ascii="Times New Roman" w:hAnsi="Times New Roman" w:cs="Times New Roman"/>
        </w:rPr>
        <w:t xml:space="preserve"> 1312; </w:t>
      </w:r>
      <w:r w:rsidR="00A514CB" w:rsidRPr="00F2239D">
        <w:rPr>
          <w:rFonts w:ascii="Times New Roman" w:hAnsi="Times New Roman" w:cs="Times New Roman"/>
          <w:i/>
        </w:rPr>
        <w:t>Commonwealth v. Eggers</w:t>
      </w:r>
      <w:r w:rsidR="00A514CB" w:rsidRPr="00F2239D">
        <w:rPr>
          <w:rFonts w:ascii="Times New Roman" w:hAnsi="Times New Roman" w:cs="Times New Roman"/>
        </w:rPr>
        <w:t>, 742 A.2d 174, 175-76 (Pa. Super. Ct. 1999)</w:t>
      </w:r>
      <w:r w:rsidR="00303876" w:rsidRPr="00F2239D">
        <w:rPr>
          <w:rFonts w:ascii="Times New Roman" w:hAnsi="Times New Roman" w:cs="Times New Roman"/>
        </w:rPr>
        <w:t xml:space="preserve">; </w:t>
      </w:r>
      <w:r w:rsidR="00303876" w:rsidRPr="00F2239D">
        <w:rPr>
          <w:rFonts w:ascii="Times New Roman" w:hAnsi="Times New Roman" w:cs="Times New Roman"/>
          <w:i/>
        </w:rPr>
        <w:t>Commonwealth v. Ballard</w:t>
      </w:r>
      <w:r w:rsidR="00303876" w:rsidRPr="00F2239D">
        <w:rPr>
          <w:rFonts w:ascii="Times New Roman" w:hAnsi="Times New Roman" w:cs="Times New Roman"/>
        </w:rPr>
        <w:t>, 814 A.2d 1</w:t>
      </w:r>
      <w:r w:rsidR="00650D44" w:rsidRPr="00F2239D">
        <w:rPr>
          <w:rFonts w:ascii="Times New Roman" w:hAnsi="Times New Roman" w:cs="Times New Roman"/>
        </w:rPr>
        <w:t xml:space="preserve">242, 1247 (Pa. Super. Ct. 2003); </w:t>
      </w:r>
      <w:r w:rsidR="00650D44" w:rsidRPr="00F2239D">
        <w:rPr>
          <w:rFonts w:ascii="Times New Roman" w:hAnsi="Times New Roman" w:cs="Times New Roman"/>
          <w:i/>
        </w:rPr>
        <w:t>Com</w:t>
      </w:r>
      <w:r w:rsidR="00CF0EE5" w:rsidRPr="00F2239D">
        <w:rPr>
          <w:rFonts w:ascii="Times New Roman" w:hAnsi="Times New Roman" w:cs="Times New Roman"/>
          <w:i/>
        </w:rPr>
        <w:t>monwealth</w:t>
      </w:r>
      <w:r w:rsidR="00650D44" w:rsidRPr="00F2239D">
        <w:rPr>
          <w:rFonts w:ascii="Times New Roman" w:hAnsi="Times New Roman" w:cs="Times New Roman"/>
          <w:i/>
        </w:rPr>
        <w:t xml:space="preserve"> v. Allshouse</w:t>
      </w:r>
      <w:r w:rsidR="00650D44" w:rsidRPr="00F2239D">
        <w:rPr>
          <w:rFonts w:ascii="Times New Roman" w:hAnsi="Times New Roman" w:cs="Times New Roman"/>
        </w:rPr>
        <w:t>, 969 A.2d 1236, 1242 (Pa. Super 2009).</w:t>
      </w:r>
      <w:r w:rsidR="00A514CB" w:rsidRPr="00F2239D">
        <w:rPr>
          <w:rFonts w:ascii="Times New Roman" w:hAnsi="Times New Roman" w:cs="Times New Roman"/>
        </w:rPr>
        <w:t xml:space="preserve"> </w:t>
      </w:r>
      <w:r w:rsidRPr="00F2239D">
        <w:rPr>
          <w:rFonts w:ascii="Times New Roman" w:hAnsi="Times New Roman" w:cs="Times New Roman"/>
          <w:i/>
        </w:rPr>
        <w:t>See also Commonwealth v. Mauk</w:t>
      </w:r>
      <w:r w:rsidRPr="00F2239D">
        <w:rPr>
          <w:rFonts w:ascii="Times New Roman" w:hAnsi="Times New Roman" w:cs="Times New Roman"/>
        </w:rPr>
        <w:t>, -- A.3d --, 2018 PA Super 98, 2018 WL 1959744, at *3 (Pa. Super. Ct. April 26, 2018) (willful nonpayment of fines and costs has a “mens rea element of specifically intending to defy the underlying court order”).</w:t>
      </w:r>
      <w:r w:rsidR="002C1402">
        <w:rPr>
          <w:rFonts w:ascii="Times New Roman" w:hAnsi="Times New Roman" w:cs="Times New Roman"/>
        </w:rPr>
        <w:t xml:space="preserve"> </w:t>
      </w:r>
    </w:p>
  </w:footnote>
  <w:footnote w:id="16">
    <w:p w14:paraId="656C7C0E" w14:textId="5D1E9B54" w:rsidR="004429B1" w:rsidRPr="00F2239D" w:rsidRDefault="004429B1">
      <w:pPr>
        <w:pStyle w:val="FootnoteText"/>
        <w:rPr>
          <w:rFonts w:ascii="Times New Roman" w:hAnsi="Times New Roman" w:cs="Times New Roman"/>
        </w:rPr>
      </w:pPr>
      <w:r w:rsidRPr="00F2239D">
        <w:rPr>
          <w:rStyle w:val="FootnoteReference"/>
          <w:rFonts w:ascii="Times New Roman" w:hAnsi="Times New Roman" w:cs="Times New Roman"/>
        </w:rPr>
        <w:footnoteRef/>
      </w:r>
      <w:r w:rsidRPr="00F2239D">
        <w:rPr>
          <w:rFonts w:ascii="Times New Roman" w:hAnsi="Times New Roman" w:cs="Times New Roman"/>
        </w:rPr>
        <w:t xml:space="preserve"> </w:t>
      </w:r>
      <w:r w:rsidR="00CF0EE5" w:rsidRPr="00F2239D">
        <w:rPr>
          <w:rFonts w:ascii="Times New Roman" w:hAnsi="Times New Roman" w:cs="Times New Roman"/>
          <w:i/>
        </w:rPr>
        <w:t>Diaz</w:t>
      </w:r>
      <w:r w:rsidR="00CF0EE5" w:rsidRPr="00F2239D">
        <w:rPr>
          <w:rFonts w:ascii="Times New Roman" w:hAnsi="Times New Roman" w:cs="Times New Roman"/>
        </w:rPr>
        <w:t xml:space="preserve">, 2018 PA Super 175 </w:t>
      </w:r>
      <w:r w:rsidRPr="00F2239D">
        <w:rPr>
          <w:rFonts w:ascii="Times New Roman" w:hAnsi="Times New Roman" w:cs="Times New Roman"/>
        </w:rPr>
        <w:t>(court must make “findings of fact” regarding the defendant’s ability to pay in proceedings following default).</w:t>
      </w:r>
    </w:p>
  </w:footnote>
  <w:footnote w:id="17">
    <w:p w14:paraId="4924095D" w14:textId="72B2E76C" w:rsidR="0025379E" w:rsidRPr="00F2239D" w:rsidRDefault="0025379E">
      <w:pPr>
        <w:pStyle w:val="FootnoteText"/>
        <w:rPr>
          <w:rFonts w:ascii="Times New Roman" w:hAnsi="Times New Roman" w:cs="Times New Roman"/>
        </w:rPr>
      </w:pPr>
      <w:r w:rsidRPr="00F2239D">
        <w:rPr>
          <w:rStyle w:val="FootnoteReference"/>
          <w:rFonts w:ascii="Times New Roman" w:hAnsi="Times New Roman" w:cs="Times New Roman"/>
        </w:rPr>
        <w:footnoteRef/>
      </w:r>
      <w:r w:rsidRPr="00F2239D">
        <w:rPr>
          <w:rFonts w:ascii="Times New Roman" w:hAnsi="Times New Roman" w:cs="Times New Roman"/>
        </w:rPr>
        <w:t xml:space="preserve"> </w:t>
      </w:r>
      <w:r w:rsidRPr="00F2239D">
        <w:rPr>
          <w:rFonts w:ascii="Times New Roman" w:hAnsi="Times New Roman" w:cs="Times New Roman"/>
          <w:i/>
        </w:rPr>
        <w:t>Rosenberry</w:t>
      </w:r>
      <w:r w:rsidRPr="00F2239D">
        <w:rPr>
          <w:rFonts w:ascii="Times New Roman" w:hAnsi="Times New Roman" w:cs="Times New Roman"/>
        </w:rPr>
        <w:t>, 645 A.2d at 1331.</w:t>
      </w:r>
    </w:p>
  </w:footnote>
  <w:footnote w:id="18">
    <w:p w14:paraId="51F38371" w14:textId="57DD57FD" w:rsidR="0025379E" w:rsidRPr="00F2239D" w:rsidRDefault="0025379E">
      <w:pPr>
        <w:pStyle w:val="FootnoteText"/>
        <w:rPr>
          <w:rFonts w:ascii="Times New Roman" w:hAnsi="Times New Roman" w:cs="Times New Roman"/>
          <w:i/>
        </w:rPr>
      </w:pPr>
      <w:r w:rsidRPr="00F2239D">
        <w:rPr>
          <w:rStyle w:val="FootnoteReference"/>
          <w:rFonts w:ascii="Times New Roman" w:hAnsi="Times New Roman" w:cs="Times New Roman"/>
        </w:rPr>
        <w:footnoteRef/>
      </w:r>
      <w:r w:rsidRPr="00F2239D">
        <w:rPr>
          <w:rFonts w:ascii="Times New Roman" w:hAnsi="Times New Roman" w:cs="Times New Roman"/>
        </w:rPr>
        <w:t xml:space="preserve"> </w:t>
      </w:r>
      <w:r w:rsidRPr="00F2239D">
        <w:rPr>
          <w:rFonts w:ascii="Times New Roman" w:hAnsi="Times New Roman" w:cs="Times New Roman"/>
          <w:i/>
        </w:rPr>
        <w:t>George v. Beard</w:t>
      </w:r>
      <w:r w:rsidRPr="00F2239D">
        <w:rPr>
          <w:rFonts w:ascii="Times New Roman" w:hAnsi="Times New Roman" w:cs="Times New Roman"/>
        </w:rPr>
        <w:t xml:space="preserve">, 824 A.2d 393, 396 (Pa. Commw. Ct. 2003); </w:t>
      </w:r>
      <w:r w:rsidRPr="00F2239D">
        <w:rPr>
          <w:rFonts w:ascii="Times New Roman" w:hAnsi="Times New Roman" w:cs="Times New Roman"/>
          <w:i/>
        </w:rPr>
        <w:t>Rosenberry</w:t>
      </w:r>
      <w:r w:rsidRPr="00F2239D">
        <w:rPr>
          <w:rFonts w:ascii="Times New Roman" w:hAnsi="Times New Roman" w:cs="Times New Roman"/>
        </w:rPr>
        <w:t>, 645 A.2d at 1331.</w:t>
      </w:r>
    </w:p>
  </w:footnote>
  <w:footnote w:id="19">
    <w:p w14:paraId="21C32496" w14:textId="5B256E38" w:rsidR="00714F85" w:rsidRPr="00F2239D" w:rsidRDefault="00714F85">
      <w:pPr>
        <w:pStyle w:val="FootnoteText"/>
        <w:rPr>
          <w:rFonts w:ascii="Times New Roman" w:hAnsi="Times New Roman" w:cs="Times New Roman"/>
        </w:rPr>
      </w:pPr>
      <w:r w:rsidRPr="00F2239D">
        <w:rPr>
          <w:rStyle w:val="FootnoteReference"/>
          <w:rFonts w:ascii="Times New Roman" w:hAnsi="Times New Roman" w:cs="Times New Roman"/>
        </w:rPr>
        <w:footnoteRef/>
      </w:r>
      <w:r w:rsidRPr="00F2239D">
        <w:rPr>
          <w:rFonts w:ascii="Times New Roman" w:hAnsi="Times New Roman" w:cs="Times New Roman"/>
        </w:rPr>
        <w:t xml:space="preserve"> </w:t>
      </w:r>
      <w:r w:rsidRPr="00F2239D">
        <w:rPr>
          <w:rFonts w:ascii="Times New Roman" w:hAnsi="Times New Roman" w:cs="Times New Roman"/>
          <w:i/>
        </w:rPr>
        <w:t>Bronson v. Com</w:t>
      </w:r>
      <w:r w:rsidR="00CB4782" w:rsidRPr="00F2239D">
        <w:rPr>
          <w:rFonts w:ascii="Times New Roman" w:hAnsi="Times New Roman" w:cs="Times New Roman"/>
          <w:i/>
        </w:rPr>
        <w:t>monwealth</w:t>
      </w:r>
      <w:r w:rsidRPr="00F2239D">
        <w:rPr>
          <w:rFonts w:ascii="Times New Roman" w:hAnsi="Times New Roman" w:cs="Times New Roman"/>
          <w:i/>
        </w:rPr>
        <w:t xml:space="preserve"> Bd. of Prob. &amp; Parole</w:t>
      </w:r>
      <w:r w:rsidRPr="00F2239D">
        <w:rPr>
          <w:rFonts w:ascii="Times New Roman" w:hAnsi="Times New Roman" w:cs="Times New Roman"/>
        </w:rPr>
        <w:t xml:space="preserve">, 421 A.2d 1021, 1026 (Pa. 1980); </w:t>
      </w:r>
      <w:r w:rsidRPr="00F2239D">
        <w:rPr>
          <w:rFonts w:ascii="Times New Roman" w:hAnsi="Times New Roman" w:cs="Times New Roman"/>
          <w:i/>
        </w:rPr>
        <w:t>Com. ex rel Rambeau v. Rundle</w:t>
      </w:r>
      <w:r w:rsidRPr="00F2239D">
        <w:rPr>
          <w:rFonts w:ascii="Times New Roman" w:hAnsi="Times New Roman" w:cs="Times New Roman"/>
        </w:rPr>
        <w:t xml:space="preserve">, 314 A.2d 842 (Pa. 1973). </w:t>
      </w:r>
      <w:r w:rsidRPr="00F2239D">
        <w:rPr>
          <w:rFonts w:ascii="Times New Roman" w:hAnsi="Times New Roman" w:cs="Times New Roman"/>
          <w:i/>
        </w:rPr>
        <w:t xml:space="preserve">See also </w:t>
      </w:r>
      <w:r w:rsidRPr="00F2239D">
        <w:rPr>
          <w:rFonts w:ascii="Times New Roman" w:hAnsi="Times New Roman" w:cs="Times New Roman"/>
        </w:rPr>
        <w:t>Pa.R.Crim.P. 708.</w:t>
      </w:r>
    </w:p>
  </w:footnote>
  <w:footnote w:id="20">
    <w:p w14:paraId="3FBCD96C" w14:textId="0C896494" w:rsidR="005254E1" w:rsidRPr="00F2239D" w:rsidRDefault="005254E1" w:rsidP="005254E1">
      <w:pPr>
        <w:pStyle w:val="FootnoteText"/>
        <w:rPr>
          <w:rFonts w:ascii="Times New Roman" w:hAnsi="Times New Roman" w:cs="Times New Roman"/>
        </w:rPr>
      </w:pPr>
      <w:r w:rsidRPr="00F2239D">
        <w:rPr>
          <w:rStyle w:val="FootnoteReference"/>
          <w:rFonts w:ascii="Times New Roman" w:hAnsi="Times New Roman" w:cs="Times New Roman"/>
        </w:rPr>
        <w:footnoteRef/>
      </w:r>
      <w:r w:rsidRPr="00F2239D">
        <w:rPr>
          <w:rFonts w:ascii="Times New Roman" w:hAnsi="Times New Roman" w:cs="Times New Roman"/>
        </w:rPr>
        <w:t xml:space="preserve"> </w:t>
      </w:r>
      <w:r w:rsidRPr="00F2239D">
        <w:rPr>
          <w:rFonts w:ascii="Times New Roman" w:hAnsi="Times New Roman" w:cs="Times New Roman"/>
          <w:i/>
        </w:rPr>
        <w:t>Com</w:t>
      </w:r>
      <w:r w:rsidR="00DE4B8E" w:rsidRPr="00F2239D">
        <w:rPr>
          <w:rFonts w:ascii="Times New Roman" w:hAnsi="Times New Roman" w:cs="Times New Roman"/>
          <w:i/>
        </w:rPr>
        <w:t>monwealth</w:t>
      </w:r>
      <w:r w:rsidRPr="00F2239D">
        <w:rPr>
          <w:rFonts w:ascii="Times New Roman" w:hAnsi="Times New Roman" w:cs="Times New Roman"/>
          <w:i/>
        </w:rPr>
        <w:t xml:space="preserve"> v. Houtz</w:t>
      </w:r>
      <w:r w:rsidRPr="00F2239D">
        <w:rPr>
          <w:rFonts w:ascii="Times New Roman" w:hAnsi="Times New Roman" w:cs="Times New Roman"/>
        </w:rPr>
        <w:t xml:space="preserve">, 856 A.2d 119, 123-124 (Pa. Super. 2004) (While “[t]he trial judge need not literally be the one to pose the questions to the defendant … the text of Rule 121(c) requires the judge to ascertain the quality of the defendant’s waiver.”).   </w:t>
      </w:r>
    </w:p>
  </w:footnote>
  <w:footnote w:id="21">
    <w:p w14:paraId="335E9EB6" w14:textId="10EC0B7D" w:rsidR="00182D41" w:rsidRPr="00F2239D" w:rsidRDefault="00182D41">
      <w:pPr>
        <w:pStyle w:val="FootnoteText"/>
        <w:rPr>
          <w:rFonts w:ascii="Times New Roman" w:hAnsi="Times New Roman" w:cs="Times New Roman"/>
        </w:rPr>
      </w:pPr>
      <w:r w:rsidRPr="00F2239D">
        <w:rPr>
          <w:rStyle w:val="FootnoteReference"/>
          <w:rFonts w:ascii="Times New Roman" w:hAnsi="Times New Roman" w:cs="Times New Roman"/>
        </w:rPr>
        <w:footnoteRef/>
      </w:r>
      <w:r w:rsidRPr="00F2239D">
        <w:rPr>
          <w:rFonts w:ascii="Times New Roman" w:hAnsi="Times New Roman" w:cs="Times New Roman"/>
        </w:rPr>
        <w:t xml:space="preserve"> </w:t>
      </w:r>
      <w:r w:rsidRPr="00F2239D">
        <w:rPr>
          <w:rFonts w:ascii="Times New Roman" w:hAnsi="Times New Roman" w:cs="Times New Roman"/>
          <w:i/>
        </w:rPr>
        <w:t>Diaz</w:t>
      </w:r>
      <w:r w:rsidRPr="00F2239D">
        <w:rPr>
          <w:rFonts w:ascii="Times New Roman" w:hAnsi="Times New Roman" w:cs="Times New Roman"/>
        </w:rPr>
        <w:t xml:space="preserve">, 2018 WL 3060310 at *11 (trial court’s failure to either provide the defendant with counsel or seek a waiver under Rule 121 prior to incarcerating the defendant for nonpayment of fines and costs rendered that incarceration illegal).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0421BF"/>
    <w:multiLevelType w:val="hybridMultilevel"/>
    <w:tmpl w:val="94505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FE62D8"/>
    <w:multiLevelType w:val="hybridMultilevel"/>
    <w:tmpl w:val="8BB4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97B66"/>
    <w:multiLevelType w:val="hybridMultilevel"/>
    <w:tmpl w:val="94A027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EA"/>
    <w:rsid w:val="00011C8A"/>
    <w:rsid w:val="00022B1B"/>
    <w:rsid w:val="00051CA8"/>
    <w:rsid w:val="00086BED"/>
    <w:rsid w:val="000A2FFA"/>
    <w:rsid w:val="000D283D"/>
    <w:rsid w:val="000E40B0"/>
    <w:rsid w:val="000F7A57"/>
    <w:rsid w:val="00117F72"/>
    <w:rsid w:val="0013548E"/>
    <w:rsid w:val="001365BE"/>
    <w:rsid w:val="00147714"/>
    <w:rsid w:val="00153AEA"/>
    <w:rsid w:val="00166D0E"/>
    <w:rsid w:val="0017027A"/>
    <w:rsid w:val="00182D41"/>
    <w:rsid w:val="00183B49"/>
    <w:rsid w:val="001A3A8D"/>
    <w:rsid w:val="001C53CE"/>
    <w:rsid w:val="001D6491"/>
    <w:rsid w:val="0025379E"/>
    <w:rsid w:val="00282930"/>
    <w:rsid w:val="002856C8"/>
    <w:rsid w:val="0028639C"/>
    <w:rsid w:val="0029128E"/>
    <w:rsid w:val="00292D28"/>
    <w:rsid w:val="002C1402"/>
    <w:rsid w:val="002C6D14"/>
    <w:rsid w:val="002D2817"/>
    <w:rsid w:val="002D4DEA"/>
    <w:rsid w:val="00303876"/>
    <w:rsid w:val="00344522"/>
    <w:rsid w:val="0036084E"/>
    <w:rsid w:val="00387932"/>
    <w:rsid w:val="003B1BB8"/>
    <w:rsid w:val="00405207"/>
    <w:rsid w:val="00414F34"/>
    <w:rsid w:val="004429B1"/>
    <w:rsid w:val="0047029E"/>
    <w:rsid w:val="0050716F"/>
    <w:rsid w:val="00516784"/>
    <w:rsid w:val="005254E1"/>
    <w:rsid w:val="00566EE8"/>
    <w:rsid w:val="00567270"/>
    <w:rsid w:val="005833B6"/>
    <w:rsid w:val="00597F07"/>
    <w:rsid w:val="005B13C2"/>
    <w:rsid w:val="005E4A12"/>
    <w:rsid w:val="005F66DB"/>
    <w:rsid w:val="00650D44"/>
    <w:rsid w:val="00652189"/>
    <w:rsid w:val="00657ED0"/>
    <w:rsid w:val="0066418B"/>
    <w:rsid w:val="00664845"/>
    <w:rsid w:val="00673A81"/>
    <w:rsid w:val="00683A40"/>
    <w:rsid w:val="006A1C9A"/>
    <w:rsid w:val="006A3C96"/>
    <w:rsid w:val="006A596A"/>
    <w:rsid w:val="006D594C"/>
    <w:rsid w:val="00714F85"/>
    <w:rsid w:val="00720A0A"/>
    <w:rsid w:val="007355EF"/>
    <w:rsid w:val="0077672C"/>
    <w:rsid w:val="00795A98"/>
    <w:rsid w:val="007A3E14"/>
    <w:rsid w:val="007C4C16"/>
    <w:rsid w:val="007C5170"/>
    <w:rsid w:val="007E1741"/>
    <w:rsid w:val="00870C1A"/>
    <w:rsid w:val="00877F5D"/>
    <w:rsid w:val="0088785D"/>
    <w:rsid w:val="008E32DF"/>
    <w:rsid w:val="008F6861"/>
    <w:rsid w:val="00943325"/>
    <w:rsid w:val="009B4318"/>
    <w:rsid w:val="009C62E5"/>
    <w:rsid w:val="00A21889"/>
    <w:rsid w:val="00A26BD1"/>
    <w:rsid w:val="00A428D5"/>
    <w:rsid w:val="00A514CB"/>
    <w:rsid w:val="00A57C27"/>
    <w:rsid w:val="00AA29FD"/>
    <w:rsid w:val="00AA3DDE"/>
    <w:rsid w:val="00AE0D94"/>
    <w:rsid w:val="00AF694E"/>
    <w:rsid w:val="00B42CCF"/>
    <w:rsid w:val="00BD5AFD"/>
    <w:rsid w:val="00BE79F7"/>
    <w:rsid w:val="00C35B88"/>
    <w:rsid w:val="00C80A79"/>
    <w:rsid w:val="00C95403"/>
    <w:rsid w:val="00CA742D"/>
    <w:rsid w:val="00CB4782"/>
    <w:rsid w:val="00CF0EE5"/>
    <w:rsid w:val="00D33E5F"/>
    <w:rsid w:val="00D43B97"/>
    <w:rsid w:val="00D603EC"/>
    <w:rsid w:val="00D864E0"/>
    <w:rsid w:val="00D921E2"/>
    <w:rsid w:val="00DB6D5C"/>
    <w:rsid w:val="00DE4B8E"/>
    <w:rsid w:val="00E40589"/>
    <w:rsid w:val="00E9712C"/>
    <w:rsid w:val="00F2239D"/>
    <w:rsid w:val="00F43B6C"/>
    <w:rsid w:val="00F62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E6BE9"/>
  <w15:chartTrackingRefBased/>
  <w15:docId w15:val="{E6E2C895-5437-4FD0-9454-75984BD3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1E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57ED0"/>
    <w:rPr>
      <w:sz w:val="20"/>
      <w:szCs w:val="20"/>
    </w:rPr>
  </w:style>
  <w:style w:type="character" w:customStyle="1" w:styleId="FootnoteTextChar">
    <w:name w:val="Footnote Text Char"/>
    <w:basedOn w:val="DefaultParagraphFont"/>
    <w:link w:val="FootnoteText"/>
    <w:uiPriority w:val="99"/>
    <w:rsid w:val="00657ED0"/>
    <w:rPr>
      <w:sz w:val="20"/>
      <w:szCs w:val="20"/>
    </w:rPr>
  </w:style>
  <w:style w:type="character" w:styleId="FootnoteReference">
    <w:name w:val="footnote reference"/>
    <w:basedOn w:val="DefaultParagraphFont"/>
    <w:uiPriority w:val="99"/>
    <w:unhideWhenUsed/>
    <w:rsid w:val="00657ED0"/>
    <w:rPr>
      <w:vertAlign w:val="superscript"/>
    </w:rPr>
  </w:style>
  <w:style w:type="character" w:styleId="CommentReference">
    <w:name w:val="annotation reference"/>
    <w:basedOn w:val="DefaultParagraphFont"/>
    <w:uiPriority w:val="99"/>
    <w:semiHidden/>
    <w:unhideWhenUsed/>
    <w:rsid w:val="00414F34"/>
    <w:rPr>
      <w:sz w:val="16"/>
      <w:szCs w:val="16"/>
    </w:rPr>
  </w:style>
  <w:style w:type="paragraph" w:styleId="CommentText">
    <w:name w:val="annotation text"/>
    <w:basedOn w:val="Normal"/>
    <w:link w:val="CommentTextChar"/>
    <w:uiPriority w:val="99"/>
    <w:semiHidden/>
    <w:unhideWhenUsed/>
    <w:rsid w:val="00414F34"/>
    <w:rPr>
      <w:sz w:val="20"/>
      <w:szCs w:val="20"/>
    </w:rPr>
  </w:style>
  <w:style w:type="character" w:customStyle="1" w:styleId="CommentTextChar">
    <w:name w:val="Comment Text Char"/>
    <w:basedOn w:val="DefaultParagraphFont"/>
    <w:link w:val="CommentText"/>
    <w:uiPriority w:val="99"/>
    <w:semiHidden/>
    <w:rsid w:val="00414F34"/>
    <w:rPr>
      <w:sz w:val="20"/>
      <w:szCs w:val="20"/>
    </w:rPr>
  </w:style>
  <w:style w:type="paragraph" w:styleId="CommentSubject">
    <w:name w:val="annotation subject"/>
    <w:basedOn w:val="CommentText"/>
    <w:next w:val="CommentText"/>
    <w:link w:val="CommentSubjectChar"/>
    <w:uiPriority w:val="99"/>
    <w:semiHidden/>
    <w:unhideWhenUsed/>
    <w:rsid w:val="00414F34"/>
    <w:rPr>
      <w:b/>
      <w:bCs/>
    </w:rPr>
  </w:style>
  <w:style w:type="character" w:customStyle="1" w:styleId="CommentSubjectChar">
    <w:name w:val="Comment Subject Char"/>
    <w:basedOn w:val="CommentTextChar"/>
    <w:link w:val="CommentSubject"/>
    <w:uiPriority w:val="99"/>
    <w:semiHidden/>
    <w:rsid w:val="00414F34"/>
    <w:rPr>
      <w:b/>
      <w:bCs/>
      <w:sz w:val="20"/>
      <w:szCs w:val="20"/>
    </w:rPr>
  </w:style>
  <w:style w:type="paragraph" w:styleId="BalloonText">
    <w:name w:val="Balloon Text"/>
    <w:basedOn w:val="Normal"/>
    <w:link w:val="BalloonTextChar"/>
    <w:uiPriority w:val="99"/>
    <w:semiHidden/>
    <w:unhideWhenUsed/>
    <w:rsid w:val="00414F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F34"/>
    <w:rPr>
      <w:rFonts w:ascii="Segoe UI" w:hAnsi="Segoe UI" w:cs="Segoe UI"/>
      <w:sz w:val="18"/>
      <w:szCs w:val="18"/>
    </w:rPr>
  </w:style>
  <w:style w:type="paragraph" w:styleId="ListParagraph">
    <w:name w:val="List Paragraph"/>
    <w:basedOn w:val="Normal"/>
    <w:uiPriority w:val="34"/>
    <w:qFormat/>
    <w:rsid w:val="000E40B0"/>
    <w:pPr>
      <w:ind w:left="720"/>
      <w:contextualSpacing/>
    </w:pPr>
  </w:style>
  <w:style w:type="character" w:styleId="Hyperlink">
    <w:name w:val="Hyperlink"/>
    <w:basedOn w:val="DefaultParagraphFont"/>
    <w:uiPriority w:val="99"/>
    <w:unhideWhenUsed/>
    <w:rsid w:val="000E40B0"/>
    <w:rPr>
      <w:color w:val="0563C1" w:themeColor="hyperlink"/>
      <w:u w:val="single"/>
    </w:rPr>
  </w:style>
  <w:style w:type="paragraph" w:styleId="EndnoteText">
    <w:name w:val="endnote text"/>
    <w:basedOn w:val="Normal"/>
    <w:link w:val="EndnoteTextChar"/>
    <w:uiPriority w:val="99"/>
    <w:semiHidden/>
    <w:unhideWhenUsed/>
    <w:rsid w:val="0025379E"/>
    <w:rPr>
      <w:sz w:val="20"/>
      <w:szCs w:val="20"/>
    </w:rPr>
  </w:style>
  <w:style w:type="character" w:customStyle="1" w:styleId="EndnoteTextChar">
    <w:name w:val="Endnote Text Char"/>
    <w:basedOn w:val="DefaultParagraphFont"/>
    <w:link w:val="EndnoteText"/>
    <w:uiPriority w:val="99"/>
    <w:semiHidden/>
    <w:rsid w:val="0025379E"/>
    <w:rPr>
      <w:sz w:val="20"/>
      <w:szCs w:val="20"/>
    </w:rPr>
  </w:style>
  <w:style w:type="character" w:styleId="EndnoteReference">
    <w:name w:val="endnote reference"/>
    <w:basedOn w:val="DefaultParagraphFont"/>
    <w:uiPriority w:val="99"/>
    <w:semiHidden/>
    <w:unhideWhenUsed/>
    <w:rsid w:val="0025379E"/>
    <w:rPr>
      <w:vertAlign w:val="superscript"/>
    </w:rPr>
  </w:style>
  <w:style w:type="paragraph" w:styleId="Footer">
    <w:name w:val="footer"/>
    <w:basedOn w:val="Normal"/>
    <w:link w:val="FooterChar"/>
    <w:uiPriority w:val="99"/>
    <w:unhideWhenUsed/>
    <w:rsid w:val="007C4C16"/>
    <w:pPr>
      <w:tabs>
        <w:tab w:val="center" w:pos="4680"/>
        <w:tab w:val="right" w:pos="9360"/>
      </w:tabs>
    </w:pPr>
  </w:style>
  <w:style w:type="character" w:customStyle="1" w:styleId="FooterChar">
    <w:name w:val="Footer Char"/>
    <w:basedOn w:val="DefaultParagraphFont"/>
    <w:link w:val="Footer"/>
    <w:uiPriority w:val="99"/>
    <w:rsid w:val="007C4C16"/>
    <w:rPr>
      <w:sz w:val="24"/>
      <w:szCs w:val="24"/>
    </w:rPr>
  </w:style>
  <w:style w:type="paragraph" w:styleId="Header">
    <w:name w:val="header"/>
    <w:basedOn w:val="Normal"/>
    <w:link w:val="HeaderChar"/>
    <w:uiPriority w:val="99"/>
    <w:unhideWhenUsed/>
    <w:rsid w:val="00166D0E"/>
    <w:pPr>
      <w:tabs>
        <w:tab w:val="center" w:pos="4680"/>
        <w:tab w:val="right" w:pos="9360"/>
      </w:tabs>
    </w:pPr>
  </w:style>
  <w:style w:type="character" w:customStyle="1" w:styleId="HeaderChar">
    <w:name w:val="Header Char"/>
    <w:basedOn w:val="DefaultParagraphFont"/>
    <w:link w:val="Header"/>
    <w:uiPriority w:val="99"/>
    <w:rsid w:val="00166D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96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Christy</dc:creator>
  <cp:keywords/>
  <dc:description/>
  <cp:lastModifiedBy>Andrew</cp:lastModifiedBy>
  <cp:revision>33</cp:revision>
  <dcterms:created xsi:type="dcterms:W3CDTF">2018-09-25T13:02:00Z</dcterms:created>
  <dcterms:modified xsi:type="dcterms:W3CDTF">2020-09-16T15:24:00Z</dcterms:modified>
</cp:coreProperties>
</file>