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68FB" w14:textId="1AB84BC5" w:rsidR="00144746" w:rsidRPr="007B3248" w:rsidRDefault="00144746" w:rsidP="00144746">
      <w:pPr>
        <w:jc w:val="center"/>
        <w:outlineLvl w:val="0"/>
        <w:rPr>
          <w:b/>
          <w:bCs/>
          <w:sz w:val="24"/>
          <w:szCs w:val="24"/>
        </w:rPr>
      </w:pPr>
      <w:r w:rsidRPr="007B3248">
        <w:rPr>
          <w:sz w:val="24"/>
          <w:szCs w:val="24"/>
          <w:lang w:val="en-CA"/>
        </w:rPr>
        <w:fldChar w:fldCharType="begin"/>
      </w:r>
      <w:r w:rsidRPr="007B3248">
        <w:rPr>
          <w:sz w:val="24"/>
          <w:szCs w:val="24"/>
          <w:lang w:val="en-CA"/>
        </w:rPr>
        <w:instrText xml:space="preserve"> SEQ CHAPTER \h \r 1</w:instrText>
      </w:r>
      <w:r w:rsidRPr="007B3248">
        <w:rPr>
          <w:sz w:val="24"/>
          <w:szCs w:val="24"/>
          <w:lang w:val="en-CA"/>
        </w:rPr>
        <w:fldChar w:fldCharType="end"/>
      </w:r>
      <w:r w:rsidRPr="007B3248">
        <w:rPr>
          <w:b/>
          <w:bCs/>
          <w:sz w:val="24"/>
          <w:szCs w:val="24"/>
        </w:rPr>
        <w:t>IN THE COURT OF COMMON PLEAS PHILADELPHIA COUNTY</w:t>
      </w:r>
    </w:p>
    <w:p w14:paraId="14A031B0" w14:textId="77777777" w:rsidR="00144746" w:rsidRPr="007B3248" w:rsidRDefault="00144746" w:rsidP="00144746">
      <w:pPr>
        <w:jc w:val="center"/>
        <w:outlineLvl w:val="0"/>
        <w:rPr>
          <w:b/>
          <w:bCs/>
          <w:sz w:val="24"/>
          <w:szCs w:val="24"/>
        </w:rPr>
      </w:pPr>
      <w:r w:rsidRPr="007B3248">
        <w:rPr>
          <w:b/>
          <w:bCs/>
          <w:sz w:val="24"/>
          <w:szCs w:val="24"/>
        </w:rPr>
        <w:t>FIRST JUDICIAL DISTRICT OF PENNSYLVANIA</w:t>
      </w:r>
    </w:p>
    <w:p w14:paraId="609EF1DF" w14:textId="77777777" w:rsidR="00144746" w:rsidRPr="007B3248" w:rsidRDefault="00144746" w:rsidP="00144746">
      <w:pPr>
        <w:rPr>
          <w:b/>
          <w:bCs/>
          <w:sz w:val="24"/>
          <w:szCs w:val="24"/>
        </w:rPr>
      </w:pPr>
    </w:p>
    <w:p w14:paraId="4CB1D60C" w14:textId="77777777" w:rsidR="00144746" w:rsidRPr="007B3248" w:rsidRDefault="00144746" w:rsidP="00144746">
      <w:pPr>
        <w:jc w:val="center"/>
        <w:outlineLvl w:val="0"/>
        <w:rPr>
          <w:b/>
          <w:bCs/>
          <w:sz w:val="24"/>
          <w:szCs w:val="24"/>
          <w:u w:val="single"/>
        </w:rPr>
      </w:pPr>
      <w:r w:rsidRPr="007B3248">
        <w:rPr>
          <w:b/>
          <w:bCs/>
          <w:sz w:val="24"/>
          <w:szCs w:val="24"/>
          <w:u w:val="single"/>
        </w:rPr>
        <w:t>TRIAL DIVISION—CRIMINAL</w:t>
      </w:r>
    </w:p>
    <w:p w14:paraId="5D6D62A0" w14:textId="77777777" w:rsidR="00144746" w:rsidRPr="007B3248" w:rsidRDefault="00144746" w:rsidP="00144746">
      <w:pPr>
        <w:rPr>
          <w:b/>
          <w:bCs/>
          <w:sz w:val="24"/>
          <w:szCs w:val="24"/>
        </w:rPr>
      </w:pPr>
    </w:p>
    <w:p w14:paraId="486D6CEA" w14:textId="77777777" w:rsidR="00144746" w:rsidRPr="007B3248" w:rsidRDefault="00144746" w:rsidP="00144746">
      <w:pPr>
        <w:rPr>
          <w:b/>
          <w:bCs/>
          <w:sz w:val="24"/>
          <w:szCs w:val="24"/>
        </w:rPr>
      </w:pPr>
      <w:r w:rsidRPr="007B3248">
        <w:rPr>
          <w:b/>
          <w:bCs/>
          <w:sz w:val="24"/>
          <w:szCs w:val="24"/>
        </w:rPr>
        <w:t>COMMONWEALTH OF PENNSYLVANIA</w:t>
      </w:r>
      <w:r w:rsidRPr="007B3248">
        <w:rPr>
          <w:b/>
          <w:bCs/>
          <w:sz w:val="24"/>
          <w:szCs w:val="24"/>
        </w:rPr>
        <w:tab/>
        <w:t>:</w:t>
      </w:r>
    </w:p>
    <w:p w14:paraId="28F83037"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r>
    </w:p>
    <w:p w14:paraId="545E7456"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p>
    <w:p w14:paraId="46A1F696" w14:textId="77777777" w:rsidR="00144746" w:rsidRPr="007B3248" w:rsidRDefault="00144746" w:rsidP="00144746">
      <w:pPr>
        <w:rPr>
          <w:b/>
          <w:bCs/>
          <w:sz w:val="24"/>
          <w:szCs w:val="24"/>
        </w:rPr>
      </w:pPr>
      <w:r w:rsidRPr="007B3248">
        <w:rPr>
          <w:b/>
          <w:bCs/>
          <w:sz w:val="24"/>
          <w:szCs w:val="24"/>
        </w:rPr>
        <w:tab/>
        <w:t>v.</w:t>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 xml:space="preserve">: </w:t>
      </w:r>
      <w:r w:rsidRPr="007B3248">
        <w:rPr>
          <w:b/>
          <w:bCs/>
          <w:sz w:val="24"/>
          <w:szCs w:val="24"/>
        </w:rPr>
        <w:tab/>
        <w:t xml:space="preserve">No. </w:t>
      </w:r>
      <w:r w:rsidRPr="007B3248">
        <w:rPr>
          <w:b/>
          <w:bCs/>
          <w:sz w:val="24"/>
          <w:szCs w:val="24"/>
        </w:rPr>
        <w:tab/>
        <w:t>CP-51-CR-</w:t>
      </w:r>
    </w:p>
    <w:p w14:paraId="4E7DAF2F"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t xml:space="preserve">        </w:t>
      </w:r>
      <w:r w:rsidRPr="007B3248">
        <w:rPr>
          <w:b/>
          <w:bCs/>
          <w:sz w:val="24"/>
          <w:szCs w:val="24"/>
        </w:rPr>
        <w:tab/>
      </w:r>
    </w:p>
    <w:p w14:paraId="46B67DFB"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t xml:space="preserve">        </w:t>
      </w:r>
      <w:r w:rsidRPr="007B3248">
        <w:rPr>
          <w:b/>
          <w:bCs/>
          <w:sz w:val="24"/>
          <w:szCs w:val="24"/>
        </w:rPr>
        <w:tab/>
      </w:r>
    </w:p>
    <w:p w14:paraId="620BF334" w14:textId="77777777" w:rsidR="00144746" w:rsidRPr="007B3248" w:rsidRDefault="00C87724" w:rsidP="00144746">
      <w:pPr>
        <w:tabs>
          <w:tab w:val="left" w:pos="720"/>
          <w:tab w:val="left" w:pos="1440"/>
          <w:tab w:val="left" w:pos="2160"/>
          <w:tab w:val="left" w:pos="2880"/>
          <w:tab w:val="left" w:pos="3600"/>
          <w:tab w:val="left" w:pos="4320"/>
          <w:tab w:val="left" w:pos="5040"/>
          <w:tab w:val="left" w:pos="6825"/>
        </w:tabs>
        <w:rPr>
          <w:b/>
          <w:bCs/>
          <w:sz w:val="24"/>
          <w:szCs w:val="24"/>
        </w:rPr>
      </w:pPr>
      <w:r w:rsidRPr="007B3248">
        <w:rPr>
          <w:b/>
          <w:bCs/>
          <w:color w:val="FF0000"/>
          <w:sz w:val="24"/>
          <w:szCs w:val="24"/>
        </w:rPr>
        <w:t>JOHN DOE</w:t>
      </w:r>
      <w:r w:rsidRPr="007B3248">
        <w:rPr>
          <w:b/>
          <w:bCs/>
          <w:sz w:val="24"/>
          <w:szCs w:val="24"/>
        </w:rPr>
        <w:tab/>
      </w:r>
      <w:r w:rsidRPr="007B3248">
        <w:rPr>
          <w:b/>
          <w:bCs/>
          <w:sz w:val="24"/>
          <w:szCs w:val="24"/>
        </w:rPr>
        <w:tab/>
      </w:r>
      <w:r w:rsidR="00144746" w:rsidRPr="007B3248">
        <w:rPr>
          <w:b/>
          <w:bCs/>
          <w:sz w:val="24"/>
          <w:szCs w:val="24"/>
        </w:rPr>
        <w:tab/>
      </w:r>
      <w:r w:rsidR="00A61B5D" w:rsidRPr="007B3248">
        <w:rPr>
          <w:b/>
          <w:bCs/>
          <w:sz w:val="24"/>
          <w:szCs w:val="24"/>
        </w:rPr>
        <w:tab/>
      </w:r>
      <w:r w:rsidR="00A61B5D" w:rsidRPr="007B3248">
        <w:rPr>
          <w:b/>
          <w:bCs/>
          <w:sz w:val="24"/>
          <w:szCs w:val="24"/>
        </w:rPr>
        <w:tab/>
      </w:r>
      <w:r w:rsidR="00A61B5D" w:rsidRPr="007B3248">
        <w:rPr>
          <w:b/>
          <w:bCs/>
          <w:sz w:val="24"/>
          <w:szCs w:val="24"/>
        </w:rPr>
        <w:tab/>
      </w:r>
      <w:r w:rsidR="00144746" w:rsidRPr="007B3248">
        <w:rPr>
          <w:b/>
          <w:bCs/>
          <w:sz w:val="24"/>
          <w:szCs w:val="24"/>
        </w:rPr>
        <w:t xml:space="preserve">:                   </w:t>
      </w:r>
    </w:p>
    <w:p w14:paraId="7F7DF6BE" w14:textId="77777777" w:rsidR="00144746" w:rsidRPr="007B3248" w:rsidRDefault="00144746" w:rsidP="00144746">
      <w:pPr>
        <w:tabs>
          <w:tab w:val="left" w:pos="720"/>
          <w:tab w:val="left" w:pos="1440"/>
          <w:tab w:val="left" w:pos="2160"/>
          <w:tab w:val="left" w:pos="2880"/>
          <w:tab w:val="left" w:pos="3600"/>
          <w:tab w:val="left" w:pos="4320"/>
          <w:tab w:val="left" w:pos="5040"/>
          <w:tab w:val="left" w:pos="6825"/>
        </w:tabs>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r>
    </w:p>
    <w:p w14:paraId="1E6FC399" w14:textId="77777777" w:rsidR="00144746" w:rsidRPr="007B3248" w:rsidRDefault="00144746" w:rsidP="00144746">
      <w:pPr>
        <w:tabs>
          <w:tab w:val="left" w:pos="6825"/>
        </w:tabs>
        <w:rPr>
          <w:b/>
          <w:bCs/>
          <w:sz w:val="24"/>
          <w:szCs w:val="24"/>
        </w:rPr>
      </w:pPr>
      <w:r w:rsidRPr="007B3248">
        <w:rPr>
          <w:b/>
          <w:bCs/>
          <w:sz w:val="24"/>
          <w:szCs w:val="24"/>
        </w:rPr>
        <w:t>__________________________________________:</w:t>
      </w:r>
      <w:r w:rsidRPr="007B3248">
        <w:rPr>
          <w:b/>
          <w:bCs/>
          <w:sz w:val="24"/>
          <w:szCs w:val="24"/>
        </w:rPr>
        <w:tab/>
      </w:r>
    </w:p>
    <w:p w14:paraId="40AF7FB3" w14:textId="77777777" w:rsidR="00144746" w:rsidRPr="007B3248" w:rsidRDefault="00144746" w:rsidP="00144746">
      <w:pPr>
        <w:tabs>
          <w:tab w:val="left" w:pos="6825"/>
        </w:tabs>
        <w:rPr>
          <w:sz w:val="24"/>
          <w:szCs w:val="24"/>
        </w:rPr>
      </w:pPr>
      <w:r w:rsidRPr="007B3248">
        <w:rPr>
          <w:sz w:val="24"/>
          <w:szCs w:val="24"/>
        </w:rPr>
        <w:tab/>
      </w:r>
    </w:p>
    <w:p w14:paraId="27C2DBEE" w14:textId="77777777" w:rsidR="00144746" w:rsidRPr="007B3248" w:rsidRDefault="00144746" w:rsidP="00144746">
      <w:pPr>
        <w:rPr>
          <w:sz w:val="24"/>
          <w:szCs w:val="24"/>
        </w:rPr>
      </w:pPr>
    </w:p>
    <w:p w14:paraId="797C147F" w14:textId="06D00189" w:rsidR="00144746" w:rsidRPr="007B3248" w:rsidRDefault="005A3555" w:rsidP="00144746">
      <w:pPr>
        <w:jc w:val="center"/>
        <w:outlineLvl w:val="0"/>
        <w:rPr>
          <w:sz w:val="24"/>
          <w:szCs w:val="24"/>
        </w:rPr>
      </w:pPr>
      <w:commentRangeStart w:id="0"/>
      <w:r w:rsidRPr="007B3248">
        <w:rPr>
          <w:b/>
          <w:bCs/>
          <w:sz w:val="24"/>
          <w:szCs w:val="24"/>
          <w:u w:val="single"/>
        </w:rPr>
        <w:t xml:space="preserve">POST-SENTENCE </w:t>
      </w:r>
      <w:commentRangeEnd w:id="0"/>
      <w:r w:rsidR="00B31295">
        <w:rPr>
          <w:rStyle w:val="CommentReference"/>
        </w:rPr>
        <w:commentReference w:id="0"/>
      </w:r>
      <w:r w:rsidRPr="007B3248">
        <w:rPr>
          <w:b/>
          <w:bCs/>
          <w:sz w:val="24"/>
          <w:szCs w:val="24"/>
          <w:u w:val="single"/>
        </w:rPr>
        <w:t xml:space="preserve">MOTION TO </w:t>
      </w:r>
      <w:r w:rsidR="00F523F8">
        <w:rPr>
          <w:b/>
          <w:bCs/>
          <w:color w:val="FF0000"/>
          <w:sz w:val="24"/>
          <w:szCs w:val="24"/>
          <w:u w:val="single"/>
        </w:rPr>
        <w:t>IMPOSE AN AFFORDABLE FINE</w:t>
      </w:r>
      <w:commentRangeStart w:id="1"/>
      <w:r w:rsidR="00C87724" w:rsidRPr="00001097">
        <w:rPr>
          <w:b/>
          <w:bCs/>
          <w:color w:val="FF0000"/>
          <w:sz w:val="24"/>
          <w:szCs w:val="24"/>
          <w:u w:val="single"/>
        </w:rPr>
        <w:t xml:space="preserve"> </w:t>
      </w:r>
      <w:commentRangeEnd w:id="1"/>
      <w:r w:rsidR="00001097">
        <w:rPr>
          <w:rStyle w:val="CommentReference"/>
        </w:rPr>
        <w:commentReference w:id="1"/>
      </w:r>
    </w:p>
    <w:p w14:paraId="282B4094" w14:textId="77777777" w:rsidR="00144746" w:rsidRPr="007B3248" w:rsidRDefault="00144746" w:rsidP="00144746">
      <w:pPr>
        <w:rPr>
          <w:sz w:val="24"/>
          <w:szCs w:val="24"/>
        </w:rPr>
      </w:pPr>
    </w:p>
    <w:p w14:paraId="1E592BBC" w14:textId="34737158" w:rsidR="00144746" w:rsidRPr="007B3248" w:rsidRDefault="00144746" w:rsidP="00144746">
      <w:pPr>
        <w:spacing w:line="480" w:lineRule="auto"/>
        <w:rPr>
          <w:sz w:val="24"/>
          <w:szCs w:val="24"/>
        </w:rPr>
      </w:pPr>
      <w:r w:rsidRPr="007B3248">
        <w:rPr>
          <w:sz w:val="24"/>
          <w:szCs w:val="24"/>
        </w:rPr>
        <w:tab/>
        <w:t xml:space="preserve">Defendant </w:t>
      </w:r>
      <w:r w:rsidR="00C87724" w:rsidRPr="007B3248">
        <w:rPr>
          <w:color w:val="FF0000"/>
          <w:sz w:val="24"/>
          <w:szCs w:val="24"/>
        </w:rPr>
        <w:t>John Doe</w:t>
      </w:r>
      <w:r w:rsidRPr="007B3248">
        <w:rPr>
          <w:sz w:val="24"/>
          <w:szCs w:val="24"/>
        </w:rPr>
        <w:t xml:space="preserve">, through counsel, hereby moves this Honorable Court to </w:t>
      </w:r>
      <w:r w:rsidR="00CE7491" w:rsidRPr="00001097">
        <w:rPr>
          <w:color w:val="FF0000"/>
          <w:sz w:val="24"/>
          <w:szCs w:val="24"/>
        </w:rPr>
        <w:t xml:space="preserve">impose </w:t>
      </w:r>
      <w:r w:rsidR="00B15A43">
        <w:rPr>
          <w:color w:val="FF0000"/>
          <w:sz w:val="24"/>
          <w:szCs w:val="24"/>
        </w:rPr>
        <w:t xml:space="preserve">an </w:t>
      </w:r>
      <w:r w:rsidR="00F523F8">
        <w:rPr>
          <w:color w:val="FF0000"/>
          <w:sz w:val="24"/>
          <w:szCs w:val="24"/>
        </w:rPr>
        <w:t>affordable</w:t>
      </w:r>
      <w:r w:rsidR="00CE7491" w:rsidRPr="00001097">
        <w:rPr>
          <w:color w:val="FF0000"/>
          <w:sz w:val="24"/>
          <w:szCs w:val="24"/>
        </w:rPr>
        <w:t xml:space="preserve"> fine</w:t>
      </w:r>
      <w:r w:rsidR="005A3555" w:rsidRPr="00001097">
        <w:rPr>
          <w:color w:val="FF0000"/>
          <w:sz w:val="24"/>
          <w:szCs w:val="24"/>
        </w:rPr>
        <w:t xml:space="preserve"> </w:t>
      </w:r>
      <w:r w:rsidR="0027759B" w:rsidRPr="00001097">
        <w:rPr>
          <w:color w:val="FF0000"/>
          <w:sz w:val="24"/>
          <w:szCs w:val="24"/>
        </w:rPr>
        <w:t xml:space="preserve">pursuant </w:t>
      </w:r>
      <w:r w:rsidR="0027759B" w:rsidRPr="007B3248">
        <w:rPr>
          <w:sz w:val="24"/>
          <w:szCs w:val="24"/>
        </w:rPr>
        <w:t xml:space="preserve">to </w:t>
      </w:r>
      <w:r w:rsidR="00CE7491" w:rsidRPr="007B3248">
        <w:rPr>
          <w:sz w:val="24"/>
          <w:szCs w:val="24"/>
        </w:rPr>
        <w:t>42 Pa.</w:t>
      </w:r>
      <w:r w:rsidR="00830D58">
        <w:rPr>
          <w:sz w:val="24"/>
          <w:szCs w:val="24"/>
        </w:rPr>
        <w:t>C.S</w:t>
      </w:r>
      <w:r w:rsidR="00CE7491" w:rsidRPr="007B3248">
        <w:rPr>
          <w:sz w:val="24"/>
          <w:szCs w:val="24"/>
        </w:rPr>
        <w:t>. § 9726</w:t>
      </w:r>
      <w:r w:rsidR="00F523F8">
        <w:rPr>
          <w:sz w:val="24"/>
          <w:szCs w:val="24"/>
        </w:rPr>
        <w:t>(c) and (d</w:t>
      </w:r>
      <w:r w:rsidR="00B443DF">
        <w:rPr>
          <w:sz w:val="24"/>
          <w:szCs w:val="24"/>
        </w:rPr>
        <w:t>)</w:t>
      </w:r>
      <w:r w:rsidR="00830D58">
        <w:rPr>
          <w:sz w:val="24"/>
          <w:szCs w:val="24"/>
        </w:rPr>
        <w:t>,</w:t>
      </w:r>
      <w:r w:rsidR="00B34B16">
        <w:rPr>
          <w:sz w:val="24"/>
          <w:szCs w:val="24"/>
        </w:rPr>
        <w:t xml:space="preserve"> and</w:t>
      </w:r>
      <w:r w:rsidRPr="007B3248">
        <w:rPr>
          <w:sz w:val="24"/>
          <w:szCs w:val="24"/>
        </w:rPr>
        <w:t xml:space="preserve"> as grounds there</w:t>
      </w:r>
      <w:r w:rsidR="00C87724" w:rsidRPr="007B3248">
        <w:rPr>
          <w:sz w:val="24"/>
          <w:szCs w:val="24"/>
        </w:rPr>
        <w:t>of</w:t>
      </w:r>
      <w:r w:rsidRPr="007B3248">
        <w:rPr>
          <w:sz w:val="24"/>
          <w:szCs w:val="24"/>
        </w:rPr>
        <w:t xml:space="preserve"> avers as follows:</w:t>
      </w:r>
    </w:p>
    <w:p w14:paraId="5DEF8717" w14:textId="77777777" w:rsidR="000D4747" w:rsidRPr="007B3248" w:rsidRDefault="000D4747" w:rsidP="005419B6">
      <w:pPr>
        <w:pStyle w:val="ListParagraph"/>
        <w:numPr>
          <w:ilvl w:val="0"/>
          <w:numId w:val="4"/>
        </w:numPr>
        <w:spacing w:line="480" w:lineRule="auto"/>
        <w:rPr>
          <w:b/>
          <w:sz w:val="24"/>
          <w:szCs w:val="24"/>
        </w:rPr>
      </w:pPr>
      <w:r w:rsidRPr="007B3248">
        <w:rPr>
          <w:b/>
          <w:sz w:val="24"/>
          <w:szCs w:val="24"/>
        </w:rPr>
        <w:t>Background</w:t>
      </w:r>
    </w:p>
    <w:p w14:paraId="491E553F" w14:textId="77777777" w:rsidR="00C80A79" w:rsidRPr="007B3248" w:rsidRDefault="003352AA" w:rsidP="003352AA">
      <w:pPr>
        <w:pStyle w:val="ListParagraph"/>
        <w:numPr>
          <w:ilvl w:val="0"/>
          <w:numId w:val="2"/>
        </w:numPr>
        <w:spacing w:line="480" w:lineRule="auto"/>
        <w:rPr>
          <w:color w:val="FF0000"/>
          <w:sz w:val="24"/>
          <w:szCs w:val="24"/>
        </w:rPr>
      </w:pPr>
      <w:r w:rsidRPr="007B3248">
        <w:rPr>
          <w:color w:val="FF0000"/>
          <w:sz w:val="24"/>
          <w:szCs w:val="24"/>
        </w:rPr>
        <w:t>[Background on case and details of sentence]</w:t>
      </w:r>
    </w:p>
    <w:p w14:paraId="2BB92E33" w14:textId="77777777" w:rsidR="00C87724" w:rsidRPr="007B3248" w:rsidRDefault="00C87724" w:rsidP="003352AA">
      <w:pPr>
        <w:pStyle w:val="ListParagraph"/>
        <w:numPr>
          <w:ilvl w:val="0"/>
          <w:numId w:val="2"/>
        </w:numPr>
        <w:spacing w:line="480" w:lineRule="auto"/>
        <w:rPr>
          <w:color w:val="FF0000"/>
          <w:sz w:val="24"/>
          <w:szCs w:val="24"/>
        </w:rPr>
      </w:pPr>
      <w:r w:rsidRPr="007B3248">
        <w:rPr>
          <w:color w:val="FF0000"/>
          <w:sz w:val="24"/>
          <w:szCs w:val="24"/>
        </w:rPr>
        <w:t>[Background on defendant’s financial situation]</w:t>
      </w:r>
    </w:p>
    <w:p w14:paraId="7A2E2BF9" w14:textId="2ED9DBE7" w:rsidR="000D4747" w:rsidRPr="007B3248" w:rsidRDefault="00CE7491" w:rsidP="005419B6">
      <w:pPr>
        <w:pStyle w:val="FootnoteText"/>
        <w:numPr>
          <w:ilvl w:val="0"/>
          <w:numId w:val="4"/>
        </w:numPr>
        <w:rPr>
          <w:b/>
          <w:sz w:val="24"/>
          <w:szCs w:val="24"/>
        </w:rPr>
      </w:pPr>
      <w:r w:rsidRPr="007B3248">
        <w:rPr>
          <w:b/>
          <w:sz w:val="24"/>
          <w:szCs w:val="24"/>
        </w:rPr>
        <w:t xml:space="preserve">This Court cannot impose a </w:t>
      </w:r>
      <w:r w:rsidR="00B443DF">
        <w:rPr>
          <w:b/>
          <w:sz w:val="24"/>
          <w:szCs w:val="24"/>
        </w:rPr>
        <w:t xml:space="preserve">discretionary </w:t>
      </w:r>
      <w:r w:rsidRPr="007B3248">
        <w:rPr>
          <w:b/>
          <w:sz w:val="24"/>
          <w:szCs w:val="24"/>
        </w:rPr>
        <w:t xml:space="preserve">fine without considering </w:t>
      </w:r>
      <w:r w:rsidR="002257AC" w:rsidRPr="007B3248">
        <w:rPr>
          <w:b/>
          <w:sz w:val="24"/>
          <w:szCs w:val="24"/>
        </w:rPr>
        <w:t>Mr.</w:t>
      </w:r>
      <w:r w:rsidRPr="007B3248">
        <w:rPr>
          <w:b/>
          <w:sz w:val="24"/>
          <w:szCs w:val="24"/>
        </w:rPr>
        <w:t xml:space="preserve"> </w:t>
      </w:r>
      <w:r w:rsidRPr="007B3248">
        <w:rPr>
          <w:b/>
          <w:color w:val="FF0000"/>
          <w:sz w:val="24"/>
          <w:szCs w:val="24"/>
        </w:rPr>
        <w:t xml:space="preserve">Doe’s </w:t>
      </w:r>
      <w:r w:rsidRPr="007B3248">
        <w:rPr>
          <w:b/>
          <w:sz w:val="24"/>
          <w:szCs w:val="24"/>
        </w:rPr>
        <w:t>ability to pay that fine</w:t>
      </w:r>
      <w:r w:rsidR="000D4747" w:rsidRPr="007B3248">
        <w:rPr>
          <w:b/>
          <w:sz w:val="24"/>
          <w:szCs w:val="24"/>
        </w:rPr>
        <w:t>.</w:t>
      </w:r>
    </w:p>
    <w:p w14:paraId="60F01B51" w14:textId="77777777" w:rsidR="001F2FAC" w:rsidRPr="007B3248" w:rsidRDefault="001F2FAC" w:rsidP="001F2FAC">
      <w:pPr>
        <w:pStyle w:val="FootnoteText"/>
        <w:ind w:left="1080"/>
        <w:rPr>
          <w:b/>
          <w:sz w:val="24"/>
          <w:szCs w:val="24"/>
        </w:rPr>
      </w:pPr>
    </w:p>
    <w:p w14:paraId="7A392E86" w14:textId="3A2D07BA" w:rsidR="00CE7491" w:rsidRPr="007B3248" w:rsidRDefault="00CE7491" w:rsidP="00A15AF2">
      <w:pPr>
        <w:pStyle w:val="FootnoteText"/>
        <w:numPr>
          <w:ilvl w:val="0"/>
          <w:numId w:val="2"/>
        </w:numPr>
        <w:spacing w:line="480" w:lineRule="auto"/>
        <w:rPr>
          <w:sz w:val="24"/>
          <w:szCs w:val="24"/>
        </w:rPr>
      </w:pPr>
      <w:r w:rsidRPr="007B3248">
        <w:rPr>
          <w:sz w:val="24"/>
          <w:szCs w:val="24"/>
        </w:rPr>
        <w:t>Pennsylvania law requires that this Court consider</w:t>
      </w:r>
      <w:r w:rsidR="00086CC1" w:rsidRPr="007B3248">
        <w:rPr>
          <w:sz w:val="24"/>
          <w:szCs w:val="24"/>
        </w:rPr>
        <w:t xml:space="preserve"> Mr. </w:t>
      </w:r>
      <w:r w:rsidRPr="007B3248">
        <w:rPr>
          <w:color w:val="FF0000"/>
          <w:sz w:val="24"/>
          <w:szCs w:val="24"/>
        </w:rPr>
        <w:t xml:space="preserve">Doe’s </w:t>
      </w:r>
      <w:r w:rsidRPr="007B3248">
        <w:rPr>
          <w:sz w:val="24"/>
          <w:szCs w:val="24"/>
        </w:rPr>
        <w:t xml:space="preserve">ability to pay a fine prior to imposing </w:t>
      </w:r>
      <w:r w:rsidR="007766BC">
        <w:rPr>
          <w:sz w:val="24"/>
          <w:szCs w:val="24"/>
        </w:rPr>
        <w:t>one</w:t>
      </w:r>
      <w:r w:rsidRPr="007B3248">
        <w:rPr>
          <w:sz w:val="24"/>
          <w:szCs w:val="24"/>
        </w:rPr>
        <w:t xml:space="preserve">, and it prohibits the Court from imposing a fine that Mr. </w:t>
      </w:r>
      <w:r w:rsidRPr="007B3248">
        <w:rPr>
          <w:color w:val="FF0000"/>
          <w:sz w:val="24"/>
          <w:szCs w:val="24"/>
        </w:rPr>
        <w:t xml:space="preserve">Doe </w:t>
      </w:r>
      <w:r w:rsidRPr="007B3248">
        <w:rPr>
          <w:sz w:val="24"/>
          <w:szCs w:val="24"/>
        </w:rPr>
        <w:t>is or will be unable to pay. 42 Pa</w:t>
      </w:r>
      <w:r w:rsidR="00E842AF">
        <w:rPr>
          <w:sz w:val="24"/>
          <w:szCs w:val="24"/>
        </w:rPr>
        <w:t>.C.S.</w:t>
      </w:r>
      <w:r w:rsidRPr="007B3248">
        <w:rPr>
          <w:sz w:val="24"/>
          <w:szCs w:val="24"/>
        </w:rPr>
        <w:t xml:space="preserve"> § 9730 provides:</w:t>
      </w:r>
    </w:p>
    <w:p w14:paraId="34329912" w14:textId="77777777" w:rsidR="00CE7491" w:rsidRPr="007B3248" w:rsidRDefault="00CE7491" w:rsidP="00CE7491">
      <w:pPr>
        <w:pStyle w:val="FootnoteText"/>
        <w:ind w:left="1440" w:right="720"/>
        <w:rPr>
          <w:sz w:val="24"/>
          <w:szCs w:val="24"/>
        </w:rPr>
      </w:pPr>
      <w:r w:rsidRPr="007B3248">
        <w:rPr>
          <w:sz w:val="24"/>
          <w:szCs w:val="24"/>
        </w:rPr>
        <w:t>(c)  Exception.--The court shall not sentence a defendant to pay a fine unless it appears of record that:</w:t>
      </w:r>
    </w:p>
    <w:p w14:paraId="14270D60" w14:textId="77777777" w:rsidR="00CE7491" w:rsidRPr="007B3248" w:rsidRDefault="00CE7491" w:rsidP="00CE7491">
      <w:pPr>
        <w:pStyle w:val="FootnoteText"/>
        <w:ind w:left="1440" w:right="720"/>
        <w:rPr>
          <w:sz w:val="24"/>
          <w:szCs w:val="24"/>
        </w:rPr>
      </w:pPr>
    </w:p>
    <w:p w14:paraId="3938DA71" w14:textId="77777777" w:rsidR="00CE7491" w:rsidRPr="007B3248" w:rsidRDefault="00CE7491" w:rsidP="00CE7491">
      <w:pPr>
        <w:pStyle w:val="FootnoteText"/>
        <w:ind w:left="1440" w:right="720" w:firstLine="720"/>
        <w:rPr>
          <w:sz w:val="24"/>
          <w:szCs w:val="24"/>
        </w:rPr>
      </w:pPr>
      <w:r w:rsidRPr="007B3248">
        <w:rPr>
          <w:sz w:val="24"/>
          <w:szCs w:val="24"/>
        </w:rPr>
        <w:t>(1)  the defendant is or will be able to pay the fine; and</w:t>
      </w:r>
    </w:p>
    <w:p w14:paraId="5520EE3A" w14:textId="77777777" w:rsidR="00CE7491" w:rsidRPr="007B3248" w:rsidRDefault="00CE7491" w:rsidP="00CE7491">
      <w:pPr>
        <w:pStyle w:val="FootnoteText"/>
        <w:ind w:left="1440" w:right="720"/>
        <w:rPr>
          <w:sz w:val="24"/>
          <w:szCs w:val="24"/>
        </w:rPr>
      </w:pPr>
    </w:p>
    <w:p w14:paraId="6B60045B" w14:textId="77777777" w:rsidR="00CE7491" w:rsidRPr="007B3248" w:rsidRDefault="00CE7491" w:rsidP="00CE7491">
      <w:pPr>
        <w:pStyle w:val="FootnoteText"/>
        <w:ind w:left="2160" w:right="720"/>
        <w:rPr>
          <w:sz w:val="24"/>
          <w:szCs w:val="24"/>
        </w:rPr>
      </w:pPr>
      <w:r w:rsidRPr="007B3248">
        <w:rPr>
          <w:sz w:val="24"/>
          <w:szCs w:val="24"/>
        </w:rPr>
        <w:t>(2)  the fine will not prevent the defendant from making restitution or reparation to the victim of the crime.</w:t>
      </w:r>
    </w:p>
    <w:p w14:paraId="5D93F65E" w14:textId="77777777" w:rsidR="00CE7491" w:rsidRPr="007B3248" w:rsidRDefault="00CE7491" w:rsidP="00CE7491">
      <w:pPr>
        <w:pStyle w:val="FootnoteText"/>
        <w:ind w:left="1440" w:right="720"/>
        <w:rPr>
          <w:sz w:val="24"/>
          <w:szCs w:val="24"/>
        </w:rPr>
      </w:pPr>
    </w:p>
    <w:p w14:paraId="5831CB56" w14:textId="105F4FCA" w:rsidR="00CE7491" w:rsidRPr="007B3248" w:rsidRDefault="00CE7491" w:rsidP="00CE7491">
      <w:pPr>
        <w:pStyle w:val="FootnoteText"/>
        <w:ind w:left="1440" w:right="720"/>
        <w:rPr>
          <w:sz w:val="24"/>
          <w:szCs w:val="24"/>
        </w:rPr>
      </w:pPr>
      <w:r w:rsidRPr="007B3248">
        <w:rPr>
          <w:sz w:val="24"/>
          <w:szCs w:val="24"/>
        </w:rPr>
        <w:lastRenderedPageBreak/>
        <w:t>(d)  Financial resources.--In determining the amount and method of payment of a fine, the court shall take into account the financial resources of the defendant and the nature of the burden that its payment will impose.</w:t>
      </w:r>
    </w:p>
    <w:p w14:paraId="6846A084" w14:textId="77777777" w:rsidR="00CE7491" w:rsidRPr="007B3248" w:rsidRDefault="00CE7491" w:rsidP="00CE7491">
      <w:pPr>
        <w:pStyle w:val="FootnoteText"/>
        <w:ind w:left="1440" w:right="720"/>
        <w:rPr>
          <w:sz w:val="24"/>
          <w:szCs w:val="24"/>
        </w:rPr>
      </w:pPr>
    </w:p>
    <w:p w14:paraId="2D650105" w14:textId="248AAAF1" w:rsidR="002F6989" w:rsidRDefault="00E842AF" w:rsidP="001A47C8">
      <w:pPr>
        <w:pStyle w:val="FootnoteText"/>
        <w:numPr>
          <w:ilvl w:val="0"/>
          <w:numId w:val="2"/>
        </w:numPr>
        <w:spacing w:line="480" w:lineRule="auto"/>
        <w:rPr>
          <w:sz w:val="24"/>
          <w:szCs w:val="24"/>
        </w:rPr>
      </w:pPr>
      <w:r w:rsidRPr="00CA1324">
        <w:rPr>
          <w:sz w:val="24"/>
          <w:szCs w:val="24"/>
        </w:rPr>
        <w:t xml:space="preserve">This statute has two key requirements: subsection (c) prohibits imposing </w:t>
      </w:r>
      <w:r w:rsidRPr="00CA1324">
        <w:rPr>
          <w:i/>
          <w:sz w:val="24"/>
          <w:szCs w:val="24"/>
        </w:rPr>
        <w:t>any</w:t>
      </w:r>
      <w:r w:rsidRPr="00CA1324">
        <w:rPr>
          <w:sz w:val="24"/>
          <w:szCs w:val="24"/>
        </w:rPr>
        <w:t xml:space="preserve"> fine on a defendant who cannot afford one, and subsection (d) limits the dollar amount of a fine to what the record shows that the defendant can afford.</w:t>
      </w:r>
      <w:r w:rsidR="00830D58" w:rsidRPr="00CA1324">
        <w:rPr>
          <w:sz w:val="24"/>
          <w:szCs w:val="24"/>
        </w:rPr>
        <w:t xml:space="preserve"> The Pennsylvania Supreme Court </w:t>
      </w:r>
      <w:r w:rsidR="001E7D54" w:rsidRPr="00CA1324">
        <w:rPr>
          <w:sz w:val="24"/>
          <w:szCs w:val="24"/>
        </w:rPr>
        <w:t xml:space="preserve">has explained that this statute puts </w:t>
      </w:r>
      <w:r w:rsidR="002D71E4" w:rsidRPr="00CA1324">
        <w:rPr>
          <w:sz w:val="24"/>
          <w:szCs w:val="24"/>
        </w:rPr>
        <w:t>an</w:t>
      </w:r>
      <w:r w:rsidR="001E7D54" w:rsidRPr="00CA1324">
        <w:rPr>
          <w:sz w:val="24"/>
          <w:szCs w:val="24"/>
        </w:rPr>
        <w:t xml:space="preserve"> obligation on the sentencing court to </w:t>
      </w:r>
      <w:r w:rsidR="002D71E4" w:rsidRPr="00CA1324">
        <w:rPr>
          <w:sz w:val="24"/>
          <w:szCs w:val="24"/>
        </w:rPr>
        <w:t>determine on the record whether the defendant will be able to pay a fine</w:t>
      </w:r>
      <w:r w:rsidR="001E7D54" w:rsidRPr="00CA1324">
        <w:rPr>
          <w:sz w:val="24"/>
          <w:szCs w:val="24"/>
        </w:rPr>
        <w:t xml:space="preserve">: “Subsection 9726(c) does not put the burden on defendants to inform the court that they might have trouble paying a fine. Instead, it instructs sentencing courts not to impose a fine absent record evidence of the defendant’s ability to pay.” </w:t>
      </w:r>
      <w:r w:rsidR="001E7D54" w:rsidRPr="00CA1324">
        <w:rPr>
          <w:i/>
          <w:sz w:val="24"/>
          <w:szCs w:val="24"/>
        </w:rPr>
        <w:t>Commonwealth v. Ford</w:t>
      </w:r>
      <w:r w:rsidR="001E7D54" w:rsidRPr="00CA1324">
        <w:rPr>
          <w:sz w:val="24"/>
          <w:szCs w:val="24"/>
        </w:rPr>
        <w:t xml:space="preserve">, 217 A.3d 824, 829 (Pa. 2019). </w:t>
      </w:r>
      <w:r w:rsidR="001E7D54" w:rsidRPr="00CA1324">
        <w:rPr>
          <w:i/>
          <w:sz w:val="24"/>
          <w:szCs w:val="24"/>
        </w:rPr>
        <w:t>See also Commonwealth v. Fusco</w:t>
      </w:r>
      <w:r w:rsidR="001E7D54" w:rsidRPr="00CA1324">
        <w:rPr>
          <w:sz w:val="24"/>
          <w:szCs w:val="24"/>
        </w:rPr>
        <w:t>, 594 A.2d 373, 375 (Pa. Super. Ct. 1991) (vacating a fine and remanding where the trial court failed to make a record of the defendant’s ability to pay before imposing a fine).</w:t>
      </w:r>
      <w:r w:rsidR="0049635C" w:rsidRPr="00CA1324">
        <w:rPr>
          <w:sz w:val="24"/>
          <w:szCs w:val="24"/>
        </w:rPr>
        <w:t xml:space="preserve"> As in the </w:t>
      </w:r>
      <w:r w:rsidR="0049635C" w:rsidRPr="00CA1324">
        <w:rPr>
          <w:i/>
          <w:sz w:val="24"/>
          <w:szCs w:val="24"/>
        </w:rPr>
        <w:t>Ford</w:t>
      </w:r>
      <w:r w:rsidR="0049635C" w:rsidRPr="00CA1324">
        <w:rPr>
          <w:sz w:val="24"/>
          <w:szCs w:val="24"/>
        </w:rPr>
        <w:t xml:space="preserve"> case, this </w:t>
      </w:r>
      <w:r w:rsidR="00D071AF" w:rsidRPr="00CA1324">
        <w:rPr>
          <w:sz w:val="24"/>
          <w:szCs w:val="24"/>
        </w:rPr>
        <w:t>obligation</w:t>
      </w:r>
      <w:r w:rsidR="0049635C" w:rsidRPr="00CA1324">
        <w:rPr>
          <w:sz w:val="24"/>
          <w:szCs w:val="24"/>
        </w:rPr>
        <w:t xml:space="preserve"> applies even if a defendant pleads guilty and agrees to pay a specific fine.</w:t>
      </w:r>
      <w:r w:rsidR="00452C34" w:rsidRPr="00CA1324">
        <w:rPr>
          <w:sz w:val="24"/>
          <w:szCs w:val="24"/>
        </w:rPr>
        <w:t xml:space="preserve"> </w:t>
      </w:r>
      <w:r w:rsidR="00452C34" w:rsidRPr="00CA1324">
        <w:rPr>
          <w:i/>
          <w:sz w:val="24"/>
          <w:szCs w:val="24"/>
        </w:rPr>
        <w:t>Ford</w:t>
      </w:r>
      <w:r w:rsidR="00452C34" w:rsidRPr="00CA1324">
        <w:rPr>
          <w:sz w:val="24"/>
          <w:szCs w:val="24"/>
        </w:rPr>
        <w:t>, 217 A.3d at 829.</w:t>
      </w:r>
      <w:r w:rsidR="000B735E" w:rsidRPr="00CA1324">
        <w:rPr>
          <w:sz w:val="24"/>
          <w:szCs w:val="24"/>
        </w:rPr>
        <w:t xml:space="preserve"> This Court must then make findings on the record about what fine, if any, Mr. </w:t>
      </w:r>
      <w:r w:rsidR="000B735E" w:rsidRPr="00CA1324">
        <w:rPr>
          <w:color w:val="FF0000"/>
          <w:sz w:val="24"/>
          <w:szCs w:val="24"/>
        </w:rPr>
        <w:t xml:space="preserve">Doe </w:t>
      </w:r>
      <w:r w:rsidR="000B735E" w:rsidRPr="00CA1324">
        <w:rPr>
          <w:sz w:val="24"/>
          <w:szCs w:val="24"/>
        </w:rPr>
        <w:t xml:space="preserve">can afford. </w:t>
      </w:r>
      <w:r w:rsidR="000B735E" w:rsidRPr="00CA1324">
        <w:rPr>
          <w:i/>
          <w:sz w:val="24"/>
          <w:szCs w:val="24"/>
        </w:rPr>
        <w:t>See</w:t>
      </w:r>
      <w:r w:rsidR="000B735E" w:rsidRPr="00CA1324">
        <w:rPr>
          <w:sz w:val="24"/>
          <w:szCs w:val="24"/>
        </w:rPr>
        <w:t xml:space="preserve">, </w:t>
      </w:r>
      <w:r w:rsidR="000B735E" w:rsidRPr="00CA1324">
        <w:rPr>
          <w:i/>
          <w:sz w:val="24"/>
          <w:szCs w:val="24"/>
        </w:rPr>
        <w:t>e.g.</w:t>
      </w:r>
      <w:r w:rsidR="000B735E" w:rsidRPr="00CA1324">
        <w:rPr>
          <w:sz w:val="24"/>
          <w:szCs w:val="24"/>
        </w:rPr>
        <w:t xml:space="preserve">, </w:t>
      </w:r>
      <w:r w:rsidR="00CA1324" w:rsidRPr="00CA1324">
        <w:rPr>
          <w:i/>
          <w:sz w:val="24"/>
          <w:szCs w:val="24"/>
        </w:rPr>
        <w:t>Commonwealth v. Allshouse</w:t>
      </w:r>
      <w:r w:rsidR="00CA1324" w:rsidRPr="00CA1324">
        <w:rPr>
          <w:sz w:val="24"/>
          <w:szCs w:val="24"/>
        </w:rPr>
        <w:t>, 924 A.2d 1215, 1228 (Pa. Super. Ct. 2007) (“[A] trial court must enter specific findings that would allow it to determine whether a</w:t>
      </w:r>
      <w:r w:rsidR="00CA1324">
        <w:rPr>
          <w:sz w:val="24"/>
          <w:szCs w:val="24"/>
        </w:rPr>
        <w:t xml:space="preserve"> d</w:t>
      </w:r>
      <w:r w:rsidR="00CA1324" w:rsidRPr="00CA1324">
        <w:rPr>
          <w:sz w:val="24"/>
          <w:szCs w:val="24"/>
        </w:rPr>
        <w:t>efendant could pa</w:t>
      </w:r>
      <w:r w:rsidR="00CA1324">
        <w:rPr>
          <w:sz w:val="24"/>
          <w:szCs w:val="24"/>
        </w:rPr>
        <w:t>y a specific amount in fines.”).</w:t>
      </w:r>
      <w:r w:rsidR="002F6989" w:rsidRPr="001A47C8">
        <w:rPr>
          <w:sz w:val="24"/>
          <w:szCs w:val="24"/>
        </w:rPr>
        <w:t xml:space="preserve"> </w:t>
      </w:r>
    </w:p>
    <w:p w14:paraId="76CC9E30" w14:textId="55773709" w:rsidR="00A20529" w:rsidRPr="001A47C8" w:rsidRDefault="00A20529" w:rsidP="001A47C8">
      <w:pPr>
        <w:pStyle w:val="FootnoteText"/>
        <w:numPr>
          <w:ilvl w:val="0"/>
          <w:numId w:val="2"/>
        </w:numPr>
        <w:spacing w:line="480" w:lineRule="auto"/>
        <w:rPr>
          <w:sz w:val="24"/>
          <w:szCs w:val="24"/>
        </w:rPr>
      </w:pPr>
      <w:r>
        <w:rPr>
          <w:sz w:val="24"/>
          <w:szCs w:val="24"/>
        </w:rPr>
        <w:t>The Superior Court has repeatedly ruled that the record must include evidence showing that the defendant is or will be able to afford to pay a fine. For example, it has ruled a $25 fine illegal when “</w:t>
      </w:r>
      <w:r w:rsidRPr="00A20529">
        <w:rPr>
          <w:sz w:val="24"/>
          <w:szCs w:val="24"/>
        </w:rPr>
        <w:t xml:space="preserve">there was no evidence presented in the trial court of </w:t>
      </w:r>
      <w:r>
        <w:rPr>
          <w:sz w:val="24"/>
          <w:szCs w:val="24"/>
        </w:rPr>
        <w:t>[the defendant’s]</w:t>
      </w:r>
      <w:r w:rsidRPr="00A20529">
        <w:rPr>
          <w:sz w:val="24"/>
          <w:szCs w:val="24"/>
        </w:rPr>
        <w:t xml:space="preserve"> present or future ability to pay the $25 fine</w:t>
      </w:r>
      <w:r>
        <w:rPr>
          <w:sz w:val="24"/>
          <w:szCs w:val="24"/>
        </w:rPr>
        <w:t>” even though “</w:t>
      </w:r>
      <w:r w:rsidRPr="00A20529">
        <w:rPr>
          <w:sz w:val="24"/>
          <w:szCs w:val="24"/>
        </w:rPr>
        <w:t xml:space="preserve">the court fulfilled its duty to inquire,” because the evidence that inquiry produced simply did not show any ability to </w:t>
      </w:r>
      <w:r w:rsidRPr="00A20529">
        <w:rPr>
          <w:sz w:val="24"/>
          <w:szCs w:val="24"/>
        </w:rPr>
        <w:lastRenderedPageBreak/>
        <w:t xml:space="preserve">pay. </w:t>
      </w:r>
      <w:r w:rsidRPr="00A20529">
        <w:rPr>
          <w:i/>
          <w:iCs/>
          <w:sz w:val="24"/>
          <w:szCs w:val="24"/>
        </w:rPr>
        <w:t>Commonwealth v. Strunk</w:t>
      </w:r>
      <w:r w:rsidRPr="00A20529">
        <w:rPr>
          <w:sz w:val="24"/>
          <w:szCs w:val="24"/>
        </w:rPr>
        <w:t xml:space="preserve">, 1072 EDA 2020, 2021 WL 1986580 at *2 and n.9 (Pa. Super. Ct. May 18, </w:t>
      </w:r>
      <w:r w:rsidRPr="00F6486A">
        <w:rPr>
          <w:sz w:val="24"/>
          <w:szCs w:val="24"/>
        </w:rPr>
        <w:t>2021).</w:t>
      </w:r>
      <w:r w:rsidR="00F6486A" w:rsidRPr="00F6486A">
        <w:rPr>
          <w:sz w:val="24"/>
          <w:szCs w:val="24"/>
        </w:rPr>
        <w:t xml:space="preserve"> </w:t>
      </w:r>
      <w:r w:rsidR="00F6486A" w:rsidRPr="00F6486A">
        <w:rPr>
          <w:i/>
          <w:iCs/>
          <w:sz w:val="24"/>
          <w:szCs w:val="24"/>
        </w:rPr>
        <w:t>Commonwealth v. Beatty</w:t>
      </w:r>
      <w:r w:rsidR="00F6486A" w:rsidRPr="00F6486A">
        <w:rPr>
          <w:sz w:val="24"/>
          <w:szCs w:val="24"/>
        </w:rPr>
        <w:t>, 1328 MDA 2021, 2022 WL 3582460 at *5 (Pa. Super. Ct. Aug. 22, 2022) (unpublished)</w:t>
      </w:r>
      <w:r w:rsidR="00F6486A">
        <w:rPr>
          <w:sz w:val="24"/>
          <w:szCs w:val="24"/>
        </w:rPr>
        <w:t xml:space="preserve"> (invalidating a fine where “</w:t>
      </w:r>
      <w:r w:rsidR="00F6486A" w:rsidRPr="00F6486A">
        <w:rPr>
          <w:sz w:val="24"/>
          <w:szCs w:val="24"/>
        </w:rPr>
        <w:t>the evidence the resentencing court identified does not support a finding that Beatty has the present or future ability to pay the fine the court imposed</w:t>
      </w:r>
      <w:r w:rsidR="00F6486A">
        <w:rPr>
          <w:sz w:val="24"/>
          <w:szCs w:val="24"/>
        </w:rPr>
        <w:t>”).</w:t>
      </w:r>
    </w:p>
    <w:p w14:paraId="780D7BE4" w14:textId="267D48D5" w:rsidR="000D4747" w:rsidRPr="007B3248" w:rsidRDefault="000D4747" w:rsidP="005419B6">
      <w:pPr>
        <w:pStyle w:val="FootnoteText"/>
        <w:numPr>
          <w:ilvl w:val="0"/>
          <w:numId w:val="4"/>
        </w:numPr>
        <w:rPr>
          <w:b/>
          <w:sz w:val="24"/>
          <w:szCs w:val="24"/>
        </w:rPr>
      </w:pPr>
      <w:commentRangeStart w:id="2"/>
      <w:r w:rsidRPr="007B3248">
        <w:rPr>
          <w:b/>
          <w:sz w:val="24"/>
          <w:szCs w:val="24"/>
        </w:rPr>
        <w:t xml:space="preserve">This Court </w:t>
      </w:r>
      <w:r w:rsidR="009D6917" w:rsidRPr="007B3248">
        <w:rPr>
          <w:b/>
          <w:sz w:val="24"/>
          <w:szCs w:val="24"/>
        </w:rPr>
        <w:t>should not impose a fine on</w:t>
      </w:r>
      <w:r w:rsidRPr="007B3248">
        <w:rPr>
          <w:b/>
          <w:sz w:val="24"/>
          <w:szCs w:val="24"/>
        </w:rPr>
        <w:t xml:space="preserve"> </w:t>
      </w:r>
      <w:r w:rsidR="00807101" w:rsidRPr="007B3248">
        <w:rPr>
          <w:b/>
          <w:sz w:val="24"/>
          <w:szCs w:val="24"/>
        </w:rPr>
        <w:t xml:space="preserve">Mr. </w:t>
      </w:r>
      <w:r w:rsidR="00807101" w:rsidRPr="007B3248">
        <w:rPr>
          <w:b/>
          <w:color w:val="FF0000"/>
          <w:sz w:val="24"/>
          <w:szCs w:val="24"/>
        </w:rPr>
        <w:t>Doe</w:t>
      </w:r>
      <w:r w:rsidRPr="007B3248">
        <w:rPr>
          <w:b/>
          <w:color w:val="FF0000"/>
          <w:sz w:val="24"/>
          <w:szCs w:val="24"/>
        </w:rPr>
        <w:t xml:space="preserve"> </w:t>
      </w:r>
      <w:r w:rsidR="005419B6" w:rsidRPr="007B3248">
        <w:rPr>
          <w:b/>
          <w:sz w:val="24"/>
          <w:szCs w:val="24"/>
        </w:rPr>
        <w:t>due to his indigence</w:t>
      </w:r>
      <w:r w:rsidRPr="007B3248">
        <w:rPr>
          <w:b/>
          <w:sz w:val="24"/>
          <w:szCs w:val="24"/>
        </w:rPr>
        <w:t>.</w:t>
      </w:r>
      <w:commentRangeEnd w:id="2"/>
      <w:r w:rsidR="009D6917" w:rsidRPr="007B3248">
        <w:rPr>
          <w:rStyle w:val="CommentReference"/>
          <w:rFonts w:eastAsiaTheme="minorEastAsia" w:cs="Times New Roman"/>
          <w:sz w:val="24"/>
          <w:szCs w:val="24"/>
        </w:rPr>
        <w:commentReference w:id="2"/>
      </w:r>
    </w:p>
    <w:p w14:paraId="32DBB3B3" w14:textId="77777777" w:rsidR="005419B6" w:rsidRPr="007B3248" w:rsidRDefault="005419B6" w:rsidP="005419B6">
      <w:pPr>
        <w:pStyle w:val="FootnoteText"/>
        <w:ind w:left="1080"/>
        <w:rPr>
          <w:b/>
          <w:sz w:val="24"/>
          <w:szCs w:val="24"/>
        </w:rPr>
      </w:pPr>
    </w:p>
    <w:p w14:paraId="52E25041" w14:textId="39677681" w:rsidR="00A024FF" w:rsidRPr="007B3248" w:rsidRDefault="00950307" w:rsidP="00A056EB">
      <w:pPr>
        <w:pStyle w:val="Level1"/>
        <w:numPr>
          <w:ilvl w:val="0"/>
          <w:numId w:val="2"/>
        </w:numPr>
        <w:tabs>
          <w:tab w:val="left" w:pos="720"/>
        </w:tabs>
        <w:spacing w:line="480" w:lineRule="auto"/>
      </w:pPr>
      <w:r w:rsidRPr="007B3248">
        <w:t>A</w:t>
      </w:r>
      <w:r w:rsidR="00782680" w:rsidRPr="007B3248">
        <w:t>s described above—and as will be presented at a hearing on this Motion—</w:t>
      </w:r>
      <w:r w:rsidR="002F2438" w:rsidRPr="007B3248">
        <w:t>Mr.</w:t>
      </w:r>
      <w:r w:rsidR="00C621F0" w:rsidRPr="007B3248">
        <w:t xml:space="preserve"> </w:t>
      </w:r>
      <w:r w:rsidR="00C621F0" w:rsidRPr="007B3248">
        <w:rPr>
          <w:color w:val="FF0000"/>
        </w:rPr>
        <w:t>Doe</w:t>
      </w:r>
      <w:r w:rsidR="00C621F0" w:rsidRPr="007B3248">
        <w:t xml:space="preserve"> is indigent</w:t>
      </w:r>
      <w:r w:rsidRPr="007B3248">
        <w:t xml:space="preserve"> and will remain </w:t>
      </w:r>
      <w:r w:rsidR="007058DB" w:rsidRPr="007B3248">
        <w:t>unable to pay</w:t>
      </w:r>
      <w:r w:rsidRPr="007B3248">
        <w:t xml:space="preserve"> after serving his sentence</w:t>
      </w:r>
      <w:r w:rsidR="00C621F0" w:rsidRPr="007B3248">
        <w:t>.</w:t>
      </w:r>
      <w:r w:rsidR="00743725" w:rsidRPr="007B3248">
        <w:t xml:space="preserve"> </w:t>
      </w:r>
      <w:commentRangeStart w:id="3"/>
      <w:r w:rsidR="00743725" w:rsidRPr="007B3248">
        <w:t xml:space="preserve">Mr. </w:t>
      </w:r>
      <w:r w:rsidR="00743725" w:rsidRPr="007B3248">
        <w:rPr>
          <w:color w:val="FF0000"/>
        </w:rPr>
        <w:t>Doe [facts about receiving SSI, has not been able to afford to live on his own, etc; recite some of the key facts to show that even before this case he couldn’t afford to live on his own.</w:t>
      </w:r>
      <w:r w:rsidR="00331363">
        <w:rPr>
          <w:color w:val="FF0000"/>
        </w:rPr>
        <w:t>]</w:t>
      </w:r>
      <w:r w:rsidR="00743725" w:rsidRPr="007B3248">
        <w:rPr>
          <w:color w:val="FF0000"/>
        </w:rPr>
        <w:t xml:space="preserve"> </w:t>
      </w:r>
      <w:r w:rsidR="00A024FF" w:rsidRPr="007B3248">
        <w:t xml:space="preserve">Moreover, Mr. </w:t>
      </w:r>
      <w:r w:rsidR="00A024FF" w:rsidRPr="007B3248">
        <w:rPr>
          <w:color w:val="FF0000"/>
        </w:rPr>
        <w:t xml:space="preserve">Doe </w:t>
      </w:r>
      <w:r w:rsidR="00A024FF" w:rsidRPr="007B3248">
        <w:t>received food stamps and Medicaid, and he currently receives the services of the public defender, facts that “invite the presumption of indigence.”</w:t>
      </w:r>
      <w:r w:rsidR="00A024FF" w:rsidRPr="007B3248">
        <w:rPr>
          <w:i/>
        </w:rPr>
        <w:t xml:space="preserve"> </w:t>
      </w:r>
      <w:commentRangeEnd w:id="3"/>
      <w:r w:rsidR="008F7630">
        <w:rPr>
          <w:rStyle w:val="CommentReference"/>
        </w:rPr>
        <w:commentReference w:id="3"/>
      </w:r>
      <w:r w:rsidR="00A024FF" w:rsidRPr="007B3248">
        <w:rPr>
          <w:i/>
        </w:rPr>
        <w:t>Commonwealth v. Eggers</w:t>
      </w:r>
      <w:r w:rsidR="00A024FF" w:rsidRPr="007B3248">
        <w:t>, 742 A.2d 174, 176 n.1 (Pa. Super. Ct. 1999). No facts rebut this presumption</w:t>
      </w:r>
      <w:r w:rsidR="002E496F" w:rsidRPr="007B3248">
        <w:t xml:space="preserve">—and indeed </w:t>
      </w:r>
      <w:r w:rsidR="005419B6" w:rsidRPr="007B3248">
        <w:t>the facts</w:t>
      </w:r>
      <w:r w:rsidR="002E496F" w:rsidRPr="007B3248">
        <w:t xml:space="preserve"> show that Mr. </w:t>
      </w:r>
      <w:r w:rsidR="002E496F" w:rsidRPr="007B3248">
        <w:rPr>
          <w:color w:val="FF0000"/>
        </w:rPr>
        <w:t xml:space="preserve">Doe </w:t>
      </w:r>
      <w:r w:rsidR="002E496F" w:rsidRPr="007B3248">
        <w:t>is and will be unab</w:t>
      </w:r>
      <w:r w:rsidR="00A056EB" w:rsidRPr="007B3248">
        <w:t xml:space="preserve">le to afford to pay </w:t>
      </w:r>
      <w:r w:rsidR="00824E32" w:rsidRPr="007B3248">
        <w:t>a fine</w:t>
      </w:r>
      <w:r w:rsidR="00A056EB" w:rsidRPr="007B3248">
        <w:t>.</w:t>
      </w:r>
      <w:r w:rsidR="00A056EB" w:rsidRPr="007B3248">
        <w:rPr>
          <w:i/>
        </w:rPr>
        <w:t xml:space="preserve"> Commonwealth v. Gaskin</w:t>
      </w:r>
      <w:r w:rsidR="00A056EB" w:rsidRPr="007B3248">
        <w:t xml:space="preserve">, 472 A.2d 1154, 1157–58 (Pa. Super. Ct. 1984) (finding no evidence of a defendant’s ability to pay a fine where defendant has no “financial assets [or] liabilities” and has been “living from hand to mouth”); </w:t>
      </w:r>
      <w:r w:rsidR="00A056EB" w:rsidRPr="007B3248">
        <w:rPr>
          <w:i/>
        </w:rPr>
        <w:t>Gerlitzki v. Feldser</w:t>
      </w:r>
      <w:r w:rsidR="00A056EB" w:rsidRPr="007B3248">
        <w:t xml:space="preserve">, 307 A.2d 307, 308 (Pa. Super. Ct. 1973) (en banc) (dispositive question is whether a person “is in poverty. If they are in poverty, it follows that they are unable to pay the costs, and their petition should be granted.”); </w:t>
      </w:r>
      <w:r w:rsidR="00A056EB" w:rsidRPr="007B3248">
        <w:rPr>
          <w:i/>
        </w:rPr>
        <w:t>Schoepple v. Schoepple</w:t>
      </w:r>
      <w:r w:rsidR="00A056EB" w:rsidRPr="007B3248">
        <w:t>, 361 A.2d 665, 667 (Pa. Super Ct. 1976) (en banc) (“[O]ne in poverty will not be able to pay costs.”).</w:t>
      </w:r>
      <w:r w:rsidR="00A056EB" w:rsidRPr="007B3248">
        <w:rPr>
          <w:rStyle w:val="FootnoteReference"/>
        </w:rPr>
        <w:footnoteReference w:id="1"/>
      </w:r>
    </w:p>
    <w:p w14:paraId="0128687C" w14:textId="4BF51211" w:rsidR="008F3DBC" w:rsidRPr="007B3248" w:rsidRDefault="007601F1" w:rsidP="007601F1">
      <w:pPr>
        <w:pStyle w:val="FootnoteText"/>
        <w:numPr>
          <w:ilvl w:val="0"/>
          <w:numId w:val="2"/>
        </w:numPr>
        <w:spacing w:line="480" w:lineRule="auto"/>
        <w:rPr>
          <w:sz w:val="24"/>
          <w:szCs w:val="24"/>
        </w:rPr>
      </w:pPr>
      <w:r w:rsidRPr="007B3248">
        <w:rPr>
          <w:sz w:val="24"/>
          <w:szCs w:val="24"/>
        </w:rPr>
        <w:lastRenderedPageBreak/>
        <w:t xml:space="preserve">The risk of imposing a fine on Mr. </w:t>
      </w:r>
      <w:r w:rsidRPr="007B3248">
        <w:rPr>
          <w:color w:val="FF0000"/>
          <w:sz w:val="24"/>
          <w:szCs w:val="24"/>
        </w:rPr>
        <w:t xml:space="preserve">Doe </w:t>
      </w:r>
      <w:r w:rsidRPr="007B3248">
        <w:rPr>
          <w:sz w:val="24"/>
          <w:szCs w:val="24"/>
        </w:rPr>
        <w:t xml:space="preserve">is that he will be unable to afford to pay it. As the Superior Court has explained, determining “defendant's ability to pay a fine will result in far more rational sentencing” as it will save this Court from having to hold a contempt hearing down the road when he is unable to pay the fine. </w:t>
      </w:r>
      <w:r w:rsidRPr="007B3248">
        <w:rPr>
          <w:i/>
          <w:sz w:val="24"/>
          <w:szCs w:val="24"/>
        </w:rPr>
        <w:t>Commonwealth v. Schwartz</w:t>
      </w:r>
      <w:r w:rsidRPr="007B3248">
        <w:rPr>
          <w:sz w:val="24"/>
          <w:szCs w:val="24"/>
        </w:rPr>
        <w:t xml:space="preserve">, 418 A.2d 637, 639 (Pa. Super. Ct. 1980). “Thus, rather than waiting until the defendant is brought before the court for not paying a fine, it is far more rational to determine the defendant's ability to pay at the time the fine is imposed.” </w:t>
      </w:r>
      <w:r w:rsidRPr="007B3248">
        <w:rPr>
          <w:i/>
          <w:sz w:val="24"/>
          <w:szCs w:val="24"/>
        </w:rPr>
        <w:t>Id</w:t>
      </w:r>
      <w:r w:rsidRPr="007B3248">
        <w:rPr>
          <w:sz w:val="24"/>
          <w:szCs w:val="24"/>
        </w:rPr>
        <w:t xml:space="preserve">. at 639-40. </w:t>
      </w:r>
      <w:r w:rsidR="002F2438" w:rsidRPr="00A8266A">
        <w:rPr>
          <w:color w:val="FF0000"/>
          <w:sz w:val="24"/>
          <w:szCs w:val="24"/>
        </w:rPr>
        <w:t>In light of his indigence</w:t>
      </w:r>
      <w:r w:rsidR="008F3DBC" w:rsidRPr="00A8266A">
        <w:rPr>
          <w:color w:val="FF0000"/>
          <w:sz w:val="24"/>
          <w:szCs w:val="24"/>
        </w:rPr>
        <w:t xml:space="preserve"> and inability to pay</w:t>
      </w:r>
      <w:r w:rsidR="00824E32" w:rsidRPr="00A8266A">
        <w:rPr>
          <w:color w:val="FF0000"/>
          <w:sz w:val="24"/>
          <w:szCs w:val="24"/>
        </w:rPr>
        <w:t xml:space="preserve"> any fine</w:t>
      </w:r>
      <w:r w:rsidR="002F2438" w:rsidRPr="00A8266A">
        <w:rPr>
          <w:color w:val="FF0000"/>
          <w:sz w:val="24"/>
          <w:szCs w:val="24"/>
        </w:rPr>
        <w:t xml:space="preserve">, this Court should </w:t>
      </w:r>
      <w:r w:rsidR="009D6917" w:rsidRPr="00A8266A">
        <w:rPr>
          <w:color w:val="FF0000"/>
          <w:sz w:val="24"/>
          <w:szCs w:val="24"/>
        </w:rPr>
        <w:t xml:space="preserve">not impose a fine on </w:t>
      </w:r>
      <w:r w:rsidR="002F2438" w:rsidRPr="00A8266A">
        <w:rPr>
          <w:color w:val="FF0000"/>
          <w:sz w:val="24"/>
          <w:szCs w:val="24"/>
        </w:rPr>
        <w:t>Mr. Doe</w:t>
      </w:r>
      <w:r w:rsidR="009D6917" w:rsidRPr="00A8266A">
        <w:rPr>
          <w:color w:val="FF0000"/>
          <w:sz w:val="24"/>
          <w:szCs w:val="24"/>
        </w:rPr>
        <w:t>.</w:t>
      </w:r>
    </w:p>
    <w:p w14:paraId="071DA34F" w14:textId="64E650FD" w:rsidR="003352AA" w:rsidRPr="007B3248" w:rsidRDefault="003352AA" w:rsidP="008F3DBC">
      <w:pPr>
        <w:pStyle w:val="FootnoteText"/>
        <w:spacing w:line="480" w:lineRule="auto"/>
        <w:rPr>
          <w:sz w:val="24"/>
          <w:szCs w:val="24"/>
        </w:rPr>
      </w:pPr>
      <w:r w:rsidRPr="007B3248">
        <w:rPr>
          <w:sz w:val="24"/>
          <w:szCs w:val="24"/>
        </w:rPr>
        <w:t xml:space="preserve">WHEREFORE, Defendant </w:t>
      </w:r>
      <w:r w:rsidR="002F2438" w:rsidRPr="007B3248">
        <w:rPr>
          <w:color w:val="FF0000"/>
          <w:sz w:val="24"/>
          <w:szCs w:val="24"/>
        </w:rPr>
        <w:t>Doe</w:t>
      </w:r>
      <w:r w:rsidR="002F2438" w:rsidRPr="007B3248">
        <w:rPr>
          <w:sz w:val="24"/>
          <w:szCs w:val="24"/>
        </w:rPr>
        <w:t xml:space="preserve"> </w:t>
      </w:r>
      <w:r w:rsidRPr="007B3248">
        <w:rPr>
          <w:sz w:val="24"/>
          <w:szCs w:val="24"/>
        </w:rPr>
        <w:t>request</w:t>
      </w:r>
      <w:r w:rsidR="001A657C" w:rsidRPr="007B3248">
        <w:rPr>
          <w:sz w:val="24"/>
          <w:szCs w:val="24"/>
        </w:rPr>
        <w:t>s</w:t>
      </w:r>
      <w:r w:rsidRPr="007B3248">
        <w:rPr>
          <w:sz w:val="24"/>
          <w:szCs w:val="24"/>
        </w:rPr>
        <w:t xml:space="preserve"> that this Court </w:t>
      </w:r>
      <w:r w:rsidR="004F7418" w:rsidRPr="007B3248">
        <w:rPr>
          <w:sz w:val="24"/>
          <w:szCs w:val="24"/>
        </w:rPr>
        <w:t>not impose a fine in this matter</w:t>
      </w:r>
      <w:r w:rsidR="002F2438" w:rsidRPr="007B3248">
        <w:rPr>
          <w:sz w:val="24"/>
          <w:szCs w:val="24"/>
        </w:rPr>
        <w:t xml:space="preserve"> due to his indigence</w:t>
      </w:r>
      <w:r w:rsidRPr="007B3248">
        <w:rPr>
          <w:sz w:val="24"/>
          <w:szCs w:val="24"/>
        </w:rPr>
        <w:t xml:space="preserve">. </w:t>
      </w:r>
    </w:p>
    <w:p w14:paraId="170EB497" w14:textId="77777777" w:rsidR="00C87724" w:rsidRPr="007B3248" w:rsidRDefault="00C87724" w:rsidP="003352AA">
      <w:pPr>
        <w:pStyle w:val="FootnoteText"/>
        <w:spacing w:line="480" w:lineRule="auto"/>
        <w:ind w:left="360"/>
        <w:rPr>
          <w:sz w:val="24"/>
          <w:szCs w:val="24"/>
        </w:rPr>
      </w:pPr>
    </w:p>
    <w:p w14:paraId="2A32C2BF" w14:textId="77777777" w:rsidR="00C87724" w:rsidRPr="007B3248" w:rsidRDefault="00C87724" w:rsidP="003352AA">
      <w:pPr>
        <w:pStyle w:val="FootnoteText"/>
        <w:spacing w:line="480" w:lineRule="auto"/>
        <w:ind w:left="360"/>
        <w:rPr>
          <w:sz w:val="24"/>
          <w:szCs w:val="24"/>
        </w:rPr>
      </w:pPr>
      <w:r w:rsidRPr="007B3248">
        <w:rPr>
          <w:sz w:val="24"/>
          <w:szCs w:val="24"/>
        </w:rPr>
        <w:tab/>
      </w:r>
      <w:r w:rsidRPr="007B3248">
        <w:rPr>
          <w:sz w:val="24"/>
          <w:szCs w:val="24"/>
        </w:rPr>
        <w:tab/>
      </w:r>
      <w:r w:rsidRPr="007B3248">
        <w:rPr>
          <w:sz w:val="24"/>
          <w:szCs w:val="24"/>
        </w:rPr>
        <w:tab/>
      </w:r>
      <w:r w:rsidRPr="007B3248">
        <w:rPr>
          <w:sz w:val="24"/>
          <w:szCs w:val="24"/>
        </w:rPr>
        <w:tab/>
      </w:r>
      <w:r w:rsidRPr="007B3248">
        <w:rPr>
          <w:sz w:val="24"/>
          <w:szCs w:val="24"/>
        </w:rPr>
        <w:tab/>
      </w:r>
      <w:r w:rsidRPr="007B3248">
        <w:rPr>
          <w:sz w:val="24"/>
          <w:szCs w:val="24"/>
        </w:rPr>
        <w:tab/>
      </w:r>
      <w:r w:rsidRPr="007B3248">
        <w:rPr>
          <w:sz w:val="24"/>
          <w:szCs w:val="24"/>
        </w:rPr>
        <w:tab/>
        <w:t>[SIGNATURE BLOCK]</w:t>
      </w:r>
    </w:p>
    <w:sectPr w:rsidR="00C87724" w:rsidRPr="007B32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w" w:date="2021-02-17T11:24:00Z" w:initials="AC">
    <w:p w14:paraId="4CE98011" w14:textId="07CB0905" w:rsidR="00B31295" w:rsidRDefault="00B31295">
      <w:pPr>
        <w:pStyle w:val="CommentText"/>
      </w:pPr>
      <w:r>
        <w:rPr>
          <w:rStyle w:val="CommentReference"/>
        </w:rPr>
        <w:annotationRef/>
      </w:r>
      <w:r>
        <w:t xml:space="preserve">This could be filed as a post-sentencing motion, or it could be filed ahead of sentencing – or the arguments could just be raised orally </w:t>
      </w:r>
    </w:p>
  </w:comment>
  <w:comment w:id="1" w:author="Andrew [2]" w:date="2020-11-18T16:24:00Z" w:initials="AC">
    <w:p w14:paraId="16F992EE" w14:textId="698C5B47" w:rsidR="00001097" w:rsidRDefault="00001097">
      <w:pPr>
        <w:pStyle w:val="CommentText"/>
      </w:pPr>
      <w:r>
        <w:rPr>
          <w:rStyle w:val="CommentReference"/>
        </w:rPr>
        <w:annotationRef/>
      </w:r>
      <w:r>
        <w:t>You should customize this based on whether you are asking for no fine, or if you are asking for a reduced fine; if the latter, you should try to identify a specific amount and why</w:t>
      </w:r>
      <w:r w:rsidR="00C56A05">
        <w:t>.</w:t>
      </w:r>
    </w:p>
    <w:p w14:paraId="364AAAEF" w14:textId="77777777" w:rsidR="00C56A05" w:rsidRDefault="00C56A05">
      <w:pPr>
        <w:pStyle w:val="CommentText"/>
      </w:pPr>
    </w:p>
    <w:p w14:paraId="4896A56F" w14:textId="1D08C418" w:rsidR="00C56A05" w:rsidRDefault="00C56A05">
      <w:pPr>
        <w:pStyle w:val="CommentText"/>
      </w:pPr>
      <w:r>
        <w:t>For example, if the defendant can afford $10/month and is on probation for 24 months, then ask for an amount that does not exceed $240, so that the fine should (hopefully) be paid in full by the time probation ends.</w:t>
      </w:r>
    </w:p>
  </w:comment>
  <w:comment w:id="2" w:author="Andrew [2]" w:date="2018-10-26T13:14:00Z" w:initials="AC">
    <w:p w14:paraId="53A83F0F" w14:textId="2D307C96" w:rsidR="009D6917" w:rsidRDefault="009D6917">
      <w:pPr>
        <w:pStyle w:val="CommentText"/>
      </w:pPr>
      <w:r>
        <w:rPr>
          <w:rStyle w:val="CommentReference"/>
        </w:rPr>
        <w:annotationRef/>
      </w:r>
      <w:r>
        <w:t xml:space="preserve">Consider whether you are asking for no fine, or if you have a better argument to make for a small fine (like $25) that is still proportionally burdensome for the client. $25 may be to a public defender client what $2,000 is to someone with an attorney’s salary. </w:t>
      </w:r>
    </w:p>
    <w:p w14:paraId="22DBB8C5" w14:textId="77777777" w:rsidR="00AC62A5" w:rsidRDefault="00AC62A5">
      <w:pPr>
        <w:pStyle w:val="CommentText"/>
      </w:pPr>
    </w:p>
    <w:p w14:paraId="624C1F47" w14:textId="1D58CC19" w:rsidR="00AC62A5" w:rsidRDefault="00AC62A5">
      <w:pPr>
        <w:pStyle w:val="CommentText"/>
      </w:pPr>
      <w:r>
        <w:t>As is noted above in the comments, the best way to do this would be to suggest a total amount of the fine based on what your client will likely be able to pay each month x the months on probation (or perhaps the statutory maximum sentence of the offense, if there will not be any probation)</w:t>
      </w:r>
    </w:p>
  </w:comment>
  <w:comment w:id="3" w:author="Andrew" w:date="2021-02-17T11:30:00Z" w:initials="AC">
    <w:p w14:paraId="5A6B4D95" w14:textId="2A8F4E1A" w:rsidR="008F7630" w:rsidRDefault="008F7630">
      <w:pPr>
        <w:pStyle w:val="CommentText"/>
      </w:pPr>
      <w:r>
        <w:rPr>
          <w:rStyle w:val="CommentReference"/>
        </w:rPr>
        <w:annotationRef/>
      </w:r>
      <w:r>
        <w:t xml:space="preserve">For all of this, of course customize it based on the defendant’s individual circumstances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E98011" w15:done="0"/>
  <w15:commentEx w15:paraId="4896A56F" w15:done="0"/>
  <w15:commentEx w15:paraId="624C1F47" w15:done="0"/>
  <w15:commentEx w15:paraId="5A6B4D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E98011" w16cid:durableId="26CF264A"/>
  <w16cid:commentId w16cid:paraId="4896A56F" w16cid:durableId="26CF264B"/>
  <w16cid:commentId w16cid:paraId="624C1F47" w16cid:durableId="26CF264E"/>
  <w16cid:commentId w16cid:paraId="5A6B4D95" w16cid:durableId="26CF26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6BE0" w14:textId="77777777" w:rsidR="004E4DCB" w:rsidRDefault="004E4DCB" w:rsidP="00144746">
      <w:r>
        <w:separator/>
      </w:r>
    </w:p>
  </w:endnote>
  <w:endnote w:type="continuationSeparator" w:id="0">
    <w:p w14:paraId="6FA52899" w14:textId="77777777" w:rsidR="004E4DCB" w:rsidRDefault="004E4DCB" w:rsidP="001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FBB6" w14:textId="77777777" w:rsidR="000C6E3E" w:rsidRDefault="000C6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0531"/>
      <w:docPartObj>
        <w:docPartGallery w:val="Page Numbers (Bottom of Page)"/>
        <w:docPartUnique/>
      </w:docPartObj>
    </w:sdtPr>
    <w:sdtEndPr>
      <w:rPr>
        <w:noProof/>
      </w:rPr>
    </w:sdtEndPr>
    <w:sdtContent>
      <w:p w14:paraId="6C48D7BD" w14:textId="377FC4C0" w:rsidR="000C6E3E" w:rsidRDefault="000C6E3E">
        <w:pPr>
          <w:pStyle w:val="Footer"/>
          <w:jc w:val="center"/>
        </w:pPr>
        <w:r>
          <w:fldChar w:fldCharType="begin"/>
        </w:r>
        <w:r>
          <w:instrText xml:space="preserve"> PAGE   \* MERGEFORMAT </w:instrText>
        </w:r>
        <w:r>
          <w:fldChar w:fldCharType="separate"/>
        </w:r>
        <w:r w:rsidR="009D3412">
          <w:rPr>
            <w:noProof/>
          </w:rPr>
          <w:t>6</w:t>
        </w:r>
        <w:r>
          <w:rPr>
            <w:noProof/>
          </w:rPr>
          <w:fldChar w:fldCharType="end"/>
        </w:r>
      </w:p>
    </w:sdtContent>
  </w:sdt>
  <w:p w14:paraId="58306DAD" w14:textId="77777777" w:rsidR="000C6E3E" w:rsidRDefault="000C6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A8AD" w14:textId="77777777" w:rsidR="000C6E3E" w:rsidRDefault="000C6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77E4" w14:textId="77777777" w:rsidR="004E4DCB" w:rsidRDefault="004E4DCB" w:rsidP="00144746">
      <w:r>
        <w:separator/>
      </w:r>
    </w:p>
  </w:footnote>
  <w:footnote w:type="continuationSeparator" w:id="0">
    <w:p w14:paraId="40112E75" w14:textId="77777777" w:rsidR="004E4DCB" w:rsidRDefault="004E4DCB" w:rsidP="00144746">
      <w:r>
        <w:continuationSeparator/>
      </w:r>
    </w:p>
  </w:footnote>
  <w:footnote w:id="1">
    <w:p w14:paraId="4FDAC837" w14:textId="07462E44" w:rsidR="00A056EB" w:rsidRPr="00192696" w:rsidRDefault="00A056EB">
      <w:pPr>
        <w:pStyle w:val="FootnoteText"/>
        <w:rPr>
          <w:rFonts w:eastAsia="Times New Roman" w:cs="Times New Roman"/>
        </w:rPr>
      </w:pPr>
      <w:r w:rsidRPr="00192696">
        <w:rPr>
          <w:rStyle w:val="FootnoteReference"/>
        </w:rPr>
        <w:footnoteRef/>
      </w:r>
      <w:r w:rsidRPr="00192696">
        <w:t xml:space="preserve"> While </w:t>
      </w:r>
      <w:r w:rsidRPr="00192696">
        <w:rPr>
          <w:i/>
        </w:rPr>
        <w:t>Gerlitzki</w:t>
      </w:r>
      <w:r w:rsidRPr="00192696">
        <w:t xml:space="preserve"> and </w:t>
      </w:r>
      <w:r w:rsidRPr="00192696">
        <w:rPr>
          <w:i/>
        </w:rPr>
        <w:t>Schoepple</w:t>
      </w:r>
      <w:r w:rsidRPr="00192696">
        <w:t xml:space="preserve"> are </w:t>
      </w:r>
      <w:r w:rsidRPr="00192696">
        <w:rPr>
          <w:i/>
        </w:rPr>
        <w:t>in forma pauperis</w:t>
      </w:r>
      <w:r w:rsidRPr="00192696">
        <w:t xml:space="preserve"> case, the Superior Court has instructed that trial courts should look to the “established processes for assessing indigency” through the in forma pauperis (“IFP”) standards when determining whether certain costs should be waived in criminal cases. </w:t>
      </w:r>
      <w:r w:rsidRPr="00192696">
        <w:rPr>
          <w:i/>
        </w:rPr>
        <w:t>Commonwealth v. Cannon</w:t>
      </w:r>
      <w:r w:rsidRPr="00192696">
        <w:t>, 954 A.2d 1222, 1226 (Pa. Super. Ct. 2008) (using the IFP standards and the appointment of counsel standards to determine whether to waive the cost of an expert in a criminal case, although the defendant failed to provide evidence of indigency)</w:t>
      </w:r>
      <w:r w:rsidRPr="00192696">
        <w:rPr>
          <w:i/>
        </w:rPr>
        <w:t>; see also Commonwealth v. Mead</w:t>
      </w:r>
      <w:r w:rsidRPr="00192696">
        <w:t xml:space="preserve">, 446 A.2d 971, 974 (Pa. Super. Ct. 1982) (reviewing IFP application and petition for appointment of counsel to help determine financial status when setting a fine). This is because of the </w:t>
      </w:r>
      <w:r w:rsidRPr="00192696">
        <w:rPr>
          <w:rFonts w:eastAsia="Times New Roman" w:cs="Times New Roman"/>
        </w:rPr>
        <w:t xml:space="preserve">“dearth of case law” in criminal cases, compared with the “well-established principles governing indigency in civil cases.” </w:t>
      </w:r>
      <w:r w:rsidRPr="00192696">
        <w:rPr>
          <w:rFonts w:eastAsia="Times New Roman" w:cs="Times New Roman"/>
          <w:i/>
        </w:rPr>
        <w:t>Commonwealth v. Lepre</w:t>
      </w:r>
      <w:r w:rsidRPr="00192696">
        <w:rPr>
          <w:rFonts w:eastAsia="Times New Roman" w:cs="Times New Roman"/>
        </w:rPr>
        <w:t xml:space="preserve">, 18 A.3d 1225, 1226 (Pa. Super. Ct. 2011) (applying IFP standards to waive appeal costs). These same principles should be used to determine whether a defendant is able to pay </w:t>
      </w:r>
      <w:r w:rsidR="00824E32" w:rsidRPr="00192696">
        <w:rPr>
          <w:rFonts w:eastAsia="Times New Roman" w:cs="Times New Roman"/>
        </w:rPr>
        <w:t>a fine under § 9726</w:t>
      </w:r>
      <w:r w:rsidRPr="00192696">
        <w:rPr>
          <w:rFonts w:eastAsia="Times New Roman" w:cs="Times New Roman"/>
        </w:rPr>
        <w:t xml:space="preserve">, as indigence is indigence.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FFB2" w14:textId="77777777" w:rsidR="000C6E3E" w:rsidRDefault="000C6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1D3C" w14:textId="77777777" w:rsidR="000C6E3E" w:rsidRDefault="000C6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D6DE" w14:textId="77777777" w:rsidR="000C6E3E" w:rsidRDefault="000C6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4152F"/>
    <w:multiLevelType w:val="hybridMultilevel"/>
    <w:tmpl w:val="FB56B398"/>
    <w:lvl w:ilvl="0" w:tplc="32928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525319">
    <w:abstractNumId w:val="5"/>
  </w:num>
  <w:num w:numId="2" w16cid:durableId="771360886">
    <w:abstractNumId w:val="0"/>
  </w:num>
  <w:num w:numId="3" w16cid:durableId="871768009">
    <w:abstractNumId w:val="3"/>
  </w:num>
  <w:num w:numId="4" w16cid:durableId="286200958">
    <w:abstractNumId w:val="2"/>
  </w:num>
  <w:num w:numId="5" w16cid:durableId="629409163">
    <w:abstractNumId w:val="4"/>
  </w:num>
  <w:num w:numId="6" w16cid:durableId="3882678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w15:presenceInfo w15:providerId="Windows Live" w15:userId="69fb4f3a47d905f0"/>
  </w15:person>
  <w15:person w15:author="Andrew [2]">
    <w15:presenceInfo w15:providerId="None" w15:userId="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35"/>
    <w:rsid w:val="00001097"/>
    <w:rsid w:val="00086CC1"/>
    <w:rsid w:val="000872B1"/>
    <w:rsid w:val="000A2E5B"/>
    <w:rsid w:val="000B735E"/>
    <w:rsid w:val="000C6E3E"/>
    <w:rsid w:val="000D4747"/>
    <w:rsid w:val="000D69CE"/>
    <w:rsid w:val="00113056"/>
    <w:rsid w:val="00144746"/>
    <w:rsid w:val="00192696"/>
    <w:rsid w:val="001A47C8"/>
    <w:rsid w:val="001A657C"/>
    <w:rsid w:val="001D5769"/>
    <w:rsid w:val="001E7D54"/>
    <w:rsid w:val="001F2FAC"/>
    <w:rsid w:val="002056DA"/>
    <w:rsid w:val="002257AC"/>
    <w:rsid w:val="00257A74"/>
    <w:rsid w:val="00275E7B"/>
    <w:rsid w:val="0027759B"/>
    <w:rsid w:val="002C0F31"/>
    <w:rsid w:val="002D71E4"/>
    <w:rsid w:val="002E496F"/>
    <w:rsid w:val="002F2438"/>
    <w:rsid w:val="002F6989"/>
    <w:rsid w:val="00331363"/>
    <w:rsid w:val="003352AA"/>
    <w:rsid w:val="00367F1B"/>
    <w:rsid w:val="003A34CD"/>
    <w:rsid w:val="003B4B3F"/>
    <w:rsid w:val="003E35C1"/>
    <w:rsid w:val="003F3AD0"/>
    <w:rsid w:val="004300AE"/>
    <w:rsid w:val="00452C34"/>
    <w:rsid w:val="00453C72"/>
    <w:rsid w:val="00454A5D"/>
    <w:rsid w:val="00486346"/>
    <w:rsid w:val="0049635C"/>
    <w:rsid w:val="004A04A6"/>
    <w:rsid w:val="004C481A"/>
    <w:rsid w:val="004E4DCB"/>
    <w:rsid w:val="004F7418"/>
    <w:rsid w:val="00515F82"/>
    <w:rsid w:val="005419B6"/>
    <w:rsid w:val="00574BD2"/>
    <w:rsid w:val="0058131B"/>
    <w:rsid w:val="005A104C"/>
    <w:rsid w:val="005A3555"/>
    <w:rsid w:val="005F3124"/>
    <w:rsid w:val="006068C2"/>
    <w:rsid w:val="00610056"/>
    <w:rsid w:val="00646278"/>
    <w:rsid w:val="006873F1"/>
    <w:rsid w:val="006B5502"/>
    <w:rsid w:val="006F06A5"/>
    <w:rsid w:val="007058DB"/>
    <w:rsid w:val="00743725"/>
    <w:rsid w:val="007601F1"/>
    <w:rsid w:val="00760D84"/>
    <w:rsid w:val="007766BC"/>
    <w:rsid w:val="007773A2"/>
    <w:rsid w:val="007800A6"/>
    <w:rsid w:val="00782680"/>
    <w:rsid w:val="007B3248"/>
    <w:rsid w:val="007B6E78"/>
    <w:rsid w:val="007C7FE7"/>
    <w:rsid w:val="00807101"/>
    <w:rsid w:val="00814633"/>
    <w:rsid w:val="00822F59"/>
    <w:rsid w:val="00824E32"/>
    <w:rsid w:val="00830085"/>
    <w:rsid w:val="00830D58"/>
    <w:rsid w:val="00844EB6"/>
    <w:rsid w:val="00866E36"/>
    <w:rsid w:val="00893C3A"/>
    <w:rsid w:val="008B0F7A"/>
    <w:rsid w:val="008C76D4"/>
    <w:rsid w:val="008F3DBC"/>
    <w:rsid w:val="008F7630"/>
    <w:rsid w:val="00950307"/>
    <w:rsid w:val="00950A22"/>
    <w:rsid w:val="00965319"/>
    <w:rsid w:val="009877AF"/>
    <w:rsid w:val="009A4512"/>
    <w:rsid w:val="009D3412"/>
    <w:rsid w:val="009D6917"/>
    <w:rsid w:val="009F474B"/>
    <w:rsid w:val="009F6666"/>
    <w:rsid w:val="00A024FF"/>
    <w:rsid w:val="00A056EB"/>
    <w:rsid w:val="00A07365"/>
    <w:rsid w:val="00A15AF2"/>
    <w:rsid w:val="00A20529"/>
    <w:rsid w:val="00A61A68"/>
    <w:rsid w:val="00A61B5D"/>
    <w:rsid w:val="00A8266A"/>
    <w:rsid w:val="00A82CC4"/>
    <w:rsid w:val="00A954D4"/>
    <w:rsid w:val="00AC62A5"/>
    <w:rsid w:val="00B122F1"/>
    <w:rsid w:val="00B15A43"/>
    <w:rsid w:val="00B31295"/>
    <w:rsid w:val="00B34B16"/>
    <w:rsid w:val="00B42E43"/>
    <w:rsid w:val="00B443DF"/>
    <w:rsid w:val="00B540FD"/>
    <w:rsid w:val="00B62DA9"/>
    <w:rsid w:val="00B700C6"/>
    <w:rsid w:val="00B70B3B"/>
    <w:rsid w:val="00B966AB"/>
    <w:rsid w:val="00BC721E"/>
    <w:rsid w:val="00BF3FEB"/>
    <w:rsid w:val="00BF663B"/>
    <w:rsid w:val="00C11A91"/>
    <w:rsid w:val="00C31B03"/>
    <w:rsid w:val="00C3682A"/>
    <w:rsid w:val="00C56A05"/>
    <w:rsid w:val="00C621F0"/>
    <w:rsid w:val="00C6763D"/>
    <w:rsid w:val="00C74B96"/>
    <w:rsid w:val="00C77910"/>
    <w:rsid w:val="00C80A79"/>
    <w:rsid w:val="00C87724"/>
    <w:rsid w:val="00CA0209"/>
    <w:rsid w:val="00CA1324"/>
    <w:rsid w:val="00CA7642"/>
    <w:rsid w:val="00CB0FF9"/>
    <w:rsid w:val="00CC2635"/>
    <w:rsid w:val="00CE7491"/>
    <w:rsid w:val="00CF0E31"/>
    <w:rsid w:val="00D04A5F"/>
    <w:rsid w:val="00D071AF"/>
    <w:rsid w:val="00D70A3F"/>
    <w:rsid w:val="00D71D7F"/>
    <w:rsid w:val="00DD6522"/>
    <w:rsid w:val="00DF0193"/>
    <w:rsid w:val="00E0187D"/>
    <w:rsid w:val="00E25A62"/>
    <w:rsid w:val="00E825BA"/>
    <w:rsid w:val="00E842AF"/>
    <w:rsid w:val="00E97522"/>
    <w:rsid w:val="00EA3CF9"/>
    <w:rsid w:val="00EC2758"/>
    <w:rsid w:val="00EE4B6E"/>
    <w:rsid w:val="00EE6D2C"/>
    <w:rsid w:val="00EF544C"/>
    <w:rsid w:val="00F523F8"/>
    <w:rsid w:val="00F60E58"/>
    <w:rsid w:val="00F6486A"/>
    <w:rsid w:val="00F7165E"/>
    <w:rsid w:val="00FC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69BB"/>
  <w15:chartTrackingRefBased/>
  <w15:docId w15:val="{B0A911B1-B469-4DF9-AE95-977A521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semiHidden/>
    <w:unhideWhenUsed/>
    <w:rsid w:val="00C621F0"/>
  </w:style>
  <w:style w:type="character" w:customStyle="1" w:styleId="CommentTextChar">
    <w:name w:val="Comment Text Char"/>
    <w:basedOn w:val="DefaultParagraphFont"/>
    <w:link w:val="CommentText"/>
    <w:uiPriority w:val="99"/>
    <w:semiHidden/>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93">
      <w:bodyDiv w:val="1"/>
      <w:marLeft w:val="0"/>
      <w:marRight w:val="0"/>
      <w:marTop w:val="0"/>
      <w:marBottom w:val="0"/>
      <w:divBdr>
        <w:top w:val="none" w:sz="0" w:space="0" w:color="auto"/>
        <w:left w:val="none" w:sz="0" w:space="0" w:color="auto"/>
        <w:bottom w:val="none" w:sz="0" w:space="0" w:color="auto"/>
        <w:right w:val="none" w:sz="0" w:space="0" w:color="auto"/>
      </w:divBdr>
    </w:div>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cp:lastModifiedBy>
  <cp:revision>88</cp:revision>
  <cp:lastPrinted>2018-03-14T17:19:00Z</cp:lastPrinted>
  <dcterms:created xsi:type="dcterms:W3CDTF">2018-10-26T16:52:00Z</dcterms:created>
  <dcterms:modified xsi:type="dcterms:W3CDTF">2022-09-19T14:42:00Z</dcterms:modified>
</cp:coreProperties>
</file>