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A826" w14:textId="38366136" w:rsidR="0039520E" w:rsidRPr="00C274A0" w:rsidRDefault="0039520E" w:rsidP="0039520E">
      <w:pPr>
        <w:jc w:val="center"/>
        <w:outlineLvl w:val="0"/>
        <w:rPr>
          <w:b/>
          <w:bCs/>
          <w:color w:val="FF0000"/>
          <w:sz w:val="24"/>
          <w:szCs w:val="24"/>
        </w:rPr>
      </w:pPr>
      <w:r w:rsidRPr="000E58C8">
        <w:rPr>
          <w:sz w:val="24"/>
          <w:szCs w:val="24"/>
          <w:lang w:val="en-CA"/>
        </w:rPr>
        <w:fldChar w:fldCharType="begin"/>
      </w:r>
      <w:r w:rsidRPr="000E58C8">
        <w:rPr>
          <w:sz w:val="24"/>
          <w:szCs w:val="24"/>
          <w:lang w:val="en-CA"/>
        </w:rPr>
        <w:instrText xml:space="preserve"> SEQ CHAPTER \h \r 1</w:instrText>
      </w:r>
      <w:r w:rsidRPr="000E58C8">
        <w:rPr>
          <w:sz w:val="24"/>
          <w:szCs w:val="24"/>
          <w:lang w:val="en-CA"/>
        </w:rPr>
        <w:fldChar w:fldCharType="end"/>
      </w:r>
      <w:r w:rsidRPr="000E58C8">
        <w:rPr>
          <w:b/>
          <w:bCs/>
          <w:sz w:val="24"/>
          <w:szCs w:val="24"/>
        </w:rPr>
        <w:t xml:space="preserve">IN THE COURT OF COMMON PLEAS </w:t>
      </w:r>
      <w:r>
        <w:rPr>
          <w:b/>
          <w:bCs/>
          <w:sz w:val="24"/>
          <w:szCs w:val="24"/>
        </w:rPr>
        <w:t xml:space="preserve">OF </w:t>
      </w:r>
      <w:r w:rsidRPr="00C274A0">
        <w:rPr>
          <w:b/>
          <w:bCs/>
          <w:color w:val="FF0000"/>
          <w:sz w:val="24"/>
          <w:szCs w:val="24"/>
        </w:rPr>
        <w:t>LEHIGH COUNTY</w:t>
      </w:r>
    </w:p>
    <w:p w14:paraId="4FCA9AC3" w14:textId="77777777" w:rsidR="0039520E" w:rsidRPr="000E58C8" w:rsidRDefault="0039520E" w:rsidP="0039520E">
      <w:pPr>
        <w:rPr>
          <w:b/>
          <w:bCs/>
          <w:sz w:val="24"/>
          <w:szCs w:val="24"/>
        </w:rPr>
      </w:pPr>
    </w:p>
    <w:p w14:paraId="2AA00654" w14:textId="77777777" w:rsidR="0039520E" w:rsidRPr="000E58C8" w:rsidRDefault="0039520E" w:rsidP="0039520E">
      <w:pPr>
        <w:jc w:val="center"/>
        <w:outlineLvl w:val="0"/>
        <w:rPr>
          <w:b/>
          <w:bCs/>
          <w:sz w:val="24"/>
          <w:szCs w:val="24"/>
          <w:u w:val="single"/>
        </w:rPr>
      </w:pPr>
      <w:r w:rsidRPr="000E58C8">
        <w:rPr>
          <w:b/>
          <w:bCs/>
          <w:sz w:val="24"/>
          <w:szCs w:val="24"/>
          <w:u w:val="single"/>
        </w:rPr>
        <w:t>TRIAL DIVISION—CRIMINAL</w:t>
      </w:r>
    </w:p>
    <w:p w14:paraId="581F9609" w14:textId="77777777" w:rsidR="0039520E" w:rsidRPr="005752C5" w:rsidRDefault="0039520E" w:rsidP="0039520E">
      <w:pPr>
        <w:rPr>
          <w:b/>
          <w:bCs/>
          <w:sz w:val="24"/>
          <w:szCs w:val="24"/>
        </w:rPr>
      </w:pPr>
    </w:p>
    <w:p w14:paraId="4ECBC916" w14:textId="77777777" w:rsidR="0039520E" w:rsidRPr="005752C5" w:rsidRDefault="0039520E" w:rsidP="0039520E">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COMMONWEALTH OF PENNSYLVANIA</w:t>
      </w:r>
      <w:r w:rsidRPr="005752C5">
        <w:rPr>
          <w:b/>
          <w:bCs/>
          <w:sz w:val="24"/>
          <w:szCs w:val="24"/>
        </w:rPr>
        <w:tab/>
        <w:t>:</w:t>
      </w:r>
      <w:r w:rsidRPr="005752C5">
        <w:rPr>
          <w:b/>
          <w:bCs/>
          <w:sz w:val="24"/>
          <w:szCs w:val="24"/>
        </w:rPr>
        <w:tab/>
      </w:r>
      <w:r w:rsidRPr="005752C5">
        <w:rPr>
          <w:b/>
          <w:bCs/>
          <w:sz w:val="24"/>
          <w:szCs w:val="24"/>
        </w:rPr>
        <w:tab/>
      </w:r>
    </w:p>
    <w:p w14:paraId="7AEE2775" w14:textId="77777777" w:rsidR="0039520E" w:rsidRPr="005752C5" w:rsidRDefault="0039520E" w:rsidP="0039520E">
      <w:pPr>
        <w:tabs>
          <w:tab w:val="left" w:pos="720"/>
          <w:tab w:val="left" w:pos="1440"/>
          <w:tab w:val="left" w:pos="2160"/>
          <w:tab w:val="left" w:pos="2880"/>
          <w:tab w:val="left" w:pos="3600"/>
          <w:tab w:val="left" w:pos="4320"/>
          <w:tab w:val="left" w:pos="5040"/>
          <w:tab w:val="left" w:pos="576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r w:rsidRPr="005752C5">
        <w:rPr>
          <w:b/>
          <w:bCs/>
          <w:sz w:val="24"/>
          <w:szCs w:val="24"/>
        </w:rPr>
        <w:tab/>
      </w:r>
    </w:p>
    <w:p w14:paraId="1D6CA4DF" w14:textId="77777777" w:rsidR="0039520E" w:rsidRPr="005752C5" w:rsidRDefault="0039520E" w:rsidP="0039520E">
      <w:pPr>
        <w:tabs>
          <w:tab w:val="left" w:pos="720"/>
          <w:tab w:val="left" w:pos="1440"/>
          <w:tab w:val="left" w:pos="2160"/>
          <w:tab w:val="left" w:pos="2880"/>
          <w:tab w:val="left" w:pos="3600"/>
          <w:tab w:val="left" w:pos="4320"/>
          <w:tab w:val="left" w:pos="5040"/>
          <w:tab w:val="left" w:pos="6405"/>
        </w:tabs>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r>
      <w:r w:rsidRPr="005752C5">
        <w:rPr>
          <w:b/>
          <w:bCs/>
          <w:sz w:val="24"/>
          <w:szCs w:val="24"/>
        </w:rPr>
        <w:tab/>
      </w:r>
    </w:p>
    <w:p w14:paraId="6BFDD21B" w14:textId="47A561AA" w:rsidR="0039520E" w:rsidRPr="005752C5" w:rsidRDefault="0039520E" w:rsidP="0039520E">
      <w:pPr>
        <w:rPr>
          <w:b/>
          <w:bCs/>
          <w:sz w:val="24"/>
          <w:szCs w:val="24"/>
        </w:rPr>
      </w:pPr>
      <w:r w:rsidRPr="005752C5">
        <w:rPr>
          <w:b/>
          <w:bCs/>
          <w:sz w:val="24"/>
          <w:szCs w:val="24"/>
        </w:rPr>
        <w:tab/>
        <w:t>v.</w:t>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 xml:space="preserve">: </w:t>
      </w:r>
      <w:r w:rsidRPr="005752C5">
        <w:rPr>
          <w:b/>
          <w:bCs/>
          <w:sz w:val="24"/>
          <w:szCs w:val="24"/>
        </w:rPr>
        <w:tab/>
        <w:t xml:space="preserve">No.     </w:t>
      </w:r>
      <w:r w:rsidRPr="005752C5">
        <w:rPr>
          <w:b/>
          <w:bCs/>
          <w:sz w:val="24"/>
          <w:szCs w:val="24"/>
        </w:rPr>
        <w:tab/>
      </w:r>
      <w:r w:rsidRPr="0039520E">
        <w:rPr>
          <w:b/>
          <w:sz w:val="24"/>
          <w:szCs w:val="24"/>
        </w:rPr>
        <w:t>CP-</w:t>
      </w:r>
    </w:p>
    <w:p w14:paraId="03724083" w14:textId="77777777" w:rsidR="0039520E" w:rsidRPr="005752C5" w:rsidRDefault="0039520E" w:rsidP="0039520E">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p>
    <w:p w14:paraId="512187E1" w14:textId="77777777" w:rsidR="0039520E" w:rsidRPr="005752C5" w:rsidRDefault="0039520E" w:rsidP="0039520E">
      <w:pPr>
        <w:rPr>
          <w:b/>
          <w:bCs/>
          <w:sz w:val="24"/>
          <w:szCs w:val="24"/>
        </w:rPr>
      </w:pP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r>
      <w:r w:rsidRPr="005752C5">
        <w:rPr>
          <w:b/>
          <w:bCs/>
          <w:sz w:val="24"/>
          <w:szCs w:val="24"/>
        </w:rPr>
        <w:tab/>
        <w:t>:</w:t>
      </w:r>
      <w:r w:rsidRPr="005752C5">
        <w:rPr>
          <w:b/>
          <w:bCs/>
          <w:sz w:val="24"/>
          <w:szCs w:val="24"/>
        </w:rPr>
        <w:tab/>
        <w:t xml:space="preserve">        </w:t>
      </w:r>
      <w:r w:rsidRPr="005752C5">
        <w:rPr>
          <w:b/>
          <w:bCs/>
          <w:sz w:val="24"/>
          <w:szCs w:val="24"/>
        </w:rPr>
        <w:tab/>
      </w:r>
    </w:p>
    <w:p w14:paraId="0E66959D" w14:textId="6CD8AA04" w:rsidR="0039520E" w:rsidRPr="00C32183" w:rsidRDefault="00C274A0" w:rsidP="0039520E">
      <w:pPr>
        <w:tabs>
          <w:tab w:val="left" w:pos="720"/>
          <w:tab w:val="left" w:pos="1440"/>
          <w:tab w:val="left" w:pos="2160"/>
          <w:tab w:val="left" w:pos="2880"/>
          <w:tab w:val="left" w:pos="3600"/>
          <w:tab w:val="left" w:pos="4320"/>
          <w:tab w:val="left" w:pos="5040"/>
        </w:tabs>
        <w:rPr>
          <w:b/>
          <w:bCs/>
          <w:sz w:val="24"/>
          <w:szCs w:val="24"/>
        </w:rPr>
      </w:pPr>
      <w:r w:rsidRPr="00C274A0">
        <w:rPr>
          <w:b/>
          <w:bCs/>
          <w:color w:val="FF0000"/>
          <w:sz w:val="24"/>
          <w:szCs w:val="24"/>
        </w:rPr>
        <w:t>John Doe</w:t>
      </w:r>
      <w:r>
        <w:rPr>
          <w:b/>
          <w:bCs/>
          <w:sz w:val="24"/>
          <w:szCs w:val="24"/>
        </w:rPr>
        <w:tab/>
      </w:r>
      <w:r>
        <w:rPr>
          <w:b/>
          <w:bCs/>
          <w:sz w:val="24"/>
          <w:szCs w:val="24"/>
        </w:rPr>
        <w:tab/>
      </w:r>
      <w:r w:rsidR="0039520E" w:rsidRPr="00C32183">
        <w:rPr>
          <w:b/>
          <w:bCs/>
          <w:sz w:val="24"/>
          <w:szCs w:val="24"/>
        </w:rPr>
        <w:tab/>
      </w:r>
      <w:r w:rsidR="0039520E" w:rsidRPr="00C32183">
        <w:rPr>
          <w:b/>
          <w:bCs/>
          <w:sz w:val="24"/>
          <w:szCs w:val="24"/>
        </w:rPr>
        <w:tab/>
      </w:r>
      <w:r w:rsidR="0039520E" w:rsidRPr="00C32183">
        <w:rPr>
          <w:b/>
          <w:bCs/>
          <w:sz w:val="24"/>
          <w:szCs w:val="24"/>
        </w:rPr>
        <w:tab/>
      </w:r>
      <w:r w:rsidR="0039520E" w:rsidRPr="00C32183">
        <w:rPr>
          <w:b/>
          <w:bCs/>
          <w:sz w:val="24"/>
          <w:szCs w:val="24"/>
        </w:rPr>
        <w:tab/>
        <w:t xml:space="preserve">:                   </w:t>
      </w:r>
      <w:r w:rsidR="0039520E" w:rsidRPr="00C32183">
        <w:rPr>
          <w:b/>
          <w:bCs/>
          <w:sz w:val="24"/>
          <w:szCs w:val="24"/>
        </w:rPr>
        <w:tab/>
      </w:r>
    </w:p>
    <w:p w14:paraId="10865778" w14:textId="77777777" w:rsidR="0039520E" w:rsidRPr="00C32183" w:rsidRDefault="0039520E" w:rsidP="0039520E">
      <w:pPr>
        <w:tabs>
          <w:tab w:val="left" w:pos="720"/>
          <w:tab w:val="left" w:pos="1440"/>
          <w:tab w:val="left" w:pos="2160"/>
          <w:tab w:val="left" w:pos="2880"/>
          <w:tab w:val="left" w:pos="3600"/>
          <w:tab w:val="left" w:pos="4320"/>
          <w:tab w:val="left" w:pos="5040"/>
        </w:tabs>
        <w:rPr>
          <w:b/>
          <w:bCs/>
          <w:sz w:val="24"/>
          <w:szCs w:val="24"/>
        </w:rPr>
      </w:pPr>
      <w:r w:rsidRPr="00C32183">
        <w:rPr>
          <w:b/>
          <w:bCs/>
          <w:sz w:val="24"/>
          <w:szCs w:val="24"/>
        </w:rPr>
        <w:tab/>
      </w:r>
      <w:r w:rsidRPr="00C32183">
        <w:rPr>
          <w:b/>
          <w:bCs/>
          <w:sz w:val="24"/>
          <w:szCs w:val="24"/>
        </w:rPr>
        <w:tab/>
      </w:r>
      <w:r w:rsidRPr="00C32183">
        <w:rPr>
          <w:b/>
          <w:bCs/>
          <w:sz w:val="24"/>
          <w:szCs w:val="24"/>
        </w:rPr>
        <w:tab/>
      </w:r>
      <w:r w:rsidRPr="00C32183">
        <w:rPr>
          <w:b/>
          <w:bCs/>
          <w:sz w:val="24"/>
          <w:szCs w:val="24"/>
        </w:rPr>
        <w:tab/>
      </w:r>
      <w:r w:rsidRPr="00C32183">
        <w:rPr>
          <w:b/>
          <w:bCs/>
          <w:sz w:val="24"/>
          <w:szCs w:val="24"/>
        </w:rPr>
        <w:tab/>
      </w:r>
      <w:r w:rsidRPr="00C32183">
        <w:rPr>
          <w:b/>
          <w:bCs/>
          <w:sz w:val="24"/>
          <w:szCs w:val="24"/>
        </w:rPr>
        <w:tab/>
      </w:r>
      <w:r w:rsidRPr="00C32183">
        <w:rPr>
          <w:b/>
          <w:bCs/>
          <w:sz w:val="24"/>
          <w:szCs w:val="24"/>
        </w:rPr>
        <w:tab/>
        <w:t>:</w:t>
      </w:r>
      <w:r w:rsidRPr="00C32183">
        <w:rPr>
          <w:b/>
          <w:bCs/>
          <w:sz w:val="24"/>
          <w:szCs w:val="24"/>
        </w:rPr>
        <w:tab/>
      </w:r>
      <w:r w:rsidRPr="00C32183">
        <w:rPr>
          <w:b/>
          <w:bCs/>
          <w:sz w:val="24"/>
          <w:szCs w:val="24"/>
        </w:rPr>
        <w:tab/>
      </w:r>
    </w:p>
    <w:p w14:paraId="6ECFC9DD" w14:textId="0CD64940" w:rsidR="00F8752F" w:rsidRDefault="0039520E" w:rsidP="0039520E">
      <w:pPr>
        <w:rPr>
          <w:b/>
          <w:bCs/>
          <w:sz w:val="24"/>
          <w:szCs w:val="24"/>
        </w:rPr>
      </w:pPr>
      <w:r w:rsidRPr="00C32183">
        <w:rPr>
          <w:b/>
          <w:bCs/>
          <w:sz w:val="24"/>
          <w:szCs w:val="24"/>
        </w:rPr>
        <w:t>__________________________________________:</w:t>
      </w:r>
      <w:r w:rsidRPr="00C32183">
        <w:rPr>
          <w:b/>
          <w:bCs/>
          <w:sz w:val="24"/>
          <w:szCs w:val="24"/>
        </w:rPr>
        <w:tab/>
      </w:r>
      <w:r w:rsidRPr="00C32183">
        <w:rPr>
          <w:b/>
          <w:bCs/>
          <w:sz w:val="24"/>
          <w:szCs w:val="24"/>
        </w:rPr>
        <w:tab/>
      </w:r>
    </w:p>
    <w:p w14:paraId="13C4C7A3" w14:textId="77777777" w:rsidR="0039520E" w:rsidRPr="00A94235" w:rsidRDefault="0039520E" w:rsidP="0039520E">
      <w:pPr>
        <w:rPr>
          <w:sz w:val="24"/>
          <w:szCs w:val="24"/>
          <w:lang w:val="en-CA"/>
        </w:rPr>
      </w:pPr>
    </w:p>
    <w:p w14:paraId="74BE88A8" w14:textId="6DFC0F3B" w:rsidR="00410C70" w:rsidRPr="00A04768" w:rsidRDefault="00410C70" w:rsidP="00D87BFA">
      <w:pPr>
        <w:jc w:val="center"/>
        <w:rPr>
          <w:sz w:val="24"/>
          <w:szCs w:val="24"/>
        </w:rPr>
      </w:pPr>
      <w:r w:rsidRPr="00A04768">
        <w:rPr>
          <w:b/>
          <w:bCs/>
          <w:sz w:val="24"/>
          <w:szCs w:val="24"/>
        </w:rPr>
        <w:t xml:space="preserve">MOTION TO </w:t>
      </w:r>
      <w:r w:rsidR="00D87BFA">
        <w:rPr>
          <w:b/>
          <w:bCs/>
          <w:sz w:val="24"/>
          <w:szCs w:val="24"/>
        </w:rPr>
        <w:t>MODIFY RESTITUTION</w:t>
      </w:r>
    </w:p>
    <w:p w14:paraId="5EBFB06E" w14:textId="77777777" w:rsidR="00F8752F" w:rsidRPr="00A94235" w:rsidRDefault="00F8752F" w:rsidP="00F8752F">
      <w:pPr>
        <w:rPr>
          <w:sz w:val="24"/>
          <w:szCs w:val="24"/>
        </w:rPr>
      </w:pPr>
    </w:p>
    <w:p w14:paraId="79A021A8" w14:textId="1050C51D" w:rsidR="00B82557" w:rsidRPr="00A94235" w:rsidRDefault="00F8752F" w:rsidP="001F1115">
      <w:pPr>
        <w:spacing w:line="480" w:lineRule="auto"/>
        <w:rPr>
          <w:sz w:val="24"/>
          <w:szCs w:val="24"/>
        </w:rPr>
      </w:pPr>
      <w:r w:rsidRPr="00A94235">
        <w:rPr>
          <w:sz w:val="24"/>
          <w:szCs w:val="24"/>
        </w:rPr>
        <w:tab/>
      </w:r>
      <w:r w:rsidR="001F1115" w:rsidRPr="00A94235">
        <w:rPr>
          <w:sz w:val="24"/>
          <w:szCs w:val="24"/>
        </w:rPr>
        <w:t xml:space="preserve">Defendant </w:t>
      </w:r>
      <w:r w:rsidR="00C274A0" w:rsidRPr="00C274A0">
        <w:rPr>
          <w:color w:val="FF0000"/>
          <w:sz w:val="24"/>
          <w:szCs w:val="24"/>
        </w:rPr>
        <w:t>John Doe</w:t>
      </w:r>
      <w:r w:rsidR="00D87BFA">
        <w:rPr>
          <w:sz w:val="24"/>
          <w:szCs w:val="24"/>
        </w:rPr>
        <w:t xml:space="preserve">, through counsel, hereby moves this Honorable Court to </w:t>
      </w:r>
      <w:r w:rsidR="009A04CC">
        <w:rPr>
          <w:sz w:val="24"/>
          <w:szCs w:val="24"/>
        </w:rPr>
        <w:t>alter or amend</w:t>
      </w:r>
      <w:r w:rsidR="00D87BFA">
        <w:rPr>
          <w:sz w:val="24"/>
          <w:szCs w:val="24"/>
        </w:rPr>
        <w:t xml:space="preserve"> the orde</w:t>
      </w:r>
      <w:r w:rsidR="00F73985">
        <w:rPr>
          <w:sz w:val="24"/>
          <w:szCs w:val="24"/>
        </w:rPr>
        <w:t>r of restitution in this matter</w:t>
      </w:r>
      <w:r w:rsidR="00D87BFA">
        <w:rPr>
          <w:sz w:val="24"/>
          <w:szCs w:val="24"/>
        </w:rPr>
        <w:t xml:space="preserve"> pursuant to 18 </w:t>
      </w:r>
      <w:proofErr w:type="spellStart"/>
      <w:r w:rsidR="00D87BFA">
        <w:rPr>
          <w:sz w:val="24"/>
          <w:szCs w:val="24"/>
        </w:rPr>
        <w:t>Pa.C.S</w:t>
      </w:r>
      <w:proofErr w:type="spellEnd"/>
      <w:r w:rsidR="00D87BFA">
        <w:rPr>
          <w:sz w:val="24"/>
          <w:szCs w:val="24"/>
        </w:rPr>
        <w:t>. § 1106(c)</w:t>
      </w:r>
      <w:r w:rsidR="00F73985">
        <w:rPr>
          <w:sz w:val="24"/>
          <w:szCs w:val="24"/>
        </w:rPr>
        <w:t xml:space="preserve">(3) because </w:t>
      </w:r>
      <w:r w:rsidR="009A04CC">
        <w:rPr>
          <w:sz w:val="24"/>
          <w:szCs w:val="24"/>
        </w:rPr>
        <w:t xml:space="preserve">of decisions by </w:t>
      </w:r>
      <w:r w:rsidR="00F73985">
        <w:rPr>
          <w:sz w:val="24"/>
          <w:szCs w:val="24"/>
        </w:rPr>
        <w:t xml:space="preserve">the </w:t>
      </w:r>
      <w:r w:rsidR="009A04CC">
        <w:rPr>
          <w:sz w:val="24"/>
          <w:szCs w:val="24"/>
        </w:rPr>
        <w:t xml:space="preserve">Pennsylvania Supreme Court and Superior Court </w:t>
      </w:r>
      <w:r w:rsidR="007A6DB7">
        <w:rPr>
          <w:sz w:val="24"/>
          <w:szCs w:val="24"/>
        </w:rPr>
        <w:t xml:space="preserve">confirming </w:t>
      </w:r>
      <w:r w:rsidR="009A04CC">
        <w:rPr>
          <w:sz w:val="24"/>
          <w:szCs w:val="24"/>
        </w:rPr>
        <w:t xml:space="preserve">that a defendant cannot be </w:t>
      </w:r>
      <w:commentRangeStart w:id="0"/>
      <w:r w:rsidR="009A04CC">
        <w:rPr>
          <w:sz w:val="24"/>
          <w:szCs w:val="24"/>
        </w:rPr>
        <w:t xml:space="preserve">required to pay </w:t>
      </w:r>
      <w:r w:rsidR="00327870">
        <w:rPr>
          <w:sz w:val="24"/>
          <w:szCs w:val="24"/>
        </w:rPr>
        <w:t>restitution to governmental or corporate entities</w:t>
      </w:r>
      <w:r w:rsidR="00C274A0">
        <w:rPr>
          <w:sz w:val="24"/>
          <w:szCs w:val="24"/>
        </w:rPr>
        <w:t xml:space="preserve"> under the restitution statute in effect at the time of the offense</w:t>
      </w:r>
      <w:commentRangeEnd w:id="0"/>
      <w:r w:rsidR="00C274A0">
        <w:rPr>
          <w:rStyle w:val="CommentReference"/>
        </w:rPr>
        <w:commentReference w:id="0"/>
      </w:r>
      <w:r w:rsidR="009A04CC">
        <w:rPr>
          <w:sz w:val="24"/>
          <w:szCs w:val="24"/>
        </w:rPr>
        <w:t xml:space="preserve">. In support thereof, </w:t>
      </w:r>
      <w:r w:rsidR="004610F3">
        <w:rPr>
          <w:sz w:val="24"/>
          <w:szCs w:val="24"/>
        </w:rPr>
        <w:t xml:space="preserve">Mr. </w:t>
      </w:r>
      <w:r w:rsidR="00C274A0" w:rsidRPr="00C274A0">
        <w:rPr>
          <w:color w:val="FF0000"/>
          <w:sz w:val="24"/>
          <w:szCs w:val="24"/>
        </w:rPr>
        <w:t>Doe</w:t>
      </w:r>
      <w:r w:rsidR="004610F3">
        <w:rPr>
          <w:sz w:val="24"/>
          <w:szCs w:val="24"/>
        </w:rPr>
        <w:t xml:space="preserve"> avers as follows</w:t>
      </w:r>
      <w:r w:rsidR="001F1115" w:rsidRPr="00A94235">
        <w:rPr>
          <w:sz w:val="24"/>
          <w:szCs w:val="24"/>
        </w:rPr>
        <w:t xml:space="preserve">: </w:t>
      </w:r>
    </w:p>
    <w:p w14:paraId="1943EAA8" w14:textId="4EED334B" w:rsidR="009A04CC" w:rsidRPr="00D2706D" w:rsidRDefault="00D2706D" w:rsidP="00CB12BC">
      <w:pPr>
        <w:pStyle w:val="Level1"/>
        <w:numPr>
          <w:ilvl w:val="0"/>
          <w:numId w:val="3"/>
        </w:numPr>
        <w:tabs>
          <w:tab w:val="left" w:pos="720"/>
        </w:tabs>
        <w:spacing w:line="480" w:lineRule="auto"/>
        <w:ind w:hanging="720"/>
        <w:rPr>
          <w:color w:val="FF0000"/>
        </w:rPr>
      </w:pPr>
      <w:r w:rsidRPr="00D2706D">
        <w:rPr>
          <w:color w:val="FF0000"/>
        </w:rPr>
        <w:t>[Background on the case, the defendant, the restitution owed, etc.]</w:t>
      </w:r>
    </w:p>
    <w:p w14:paraId="0EB2C0E8" w14:textId="2B9CC7FF" w:rsidR="005C79C3" w:rsidRDefault="000A2C93" w:rsidP="00DC3F9D">
      <w:pPr>
        <w:pStyle w:val="Level1"/>
        <w:numPr>
          <w:ilvl w:val="0"/>
          <w:numId w:val="3"/>
        </w:numPr>
        <w:tabs>
          <w:tab w:val="left" w:pos="720"/>
        </w:tabs>
        <w:spacing w:line="480" w:lineRule="auto"/>
        <w:ind w:hanging="720"/>
      </w:pPr>
      <w:r w:rsidRPr="00D75F61">
        <w:t xml:space="preserve">Restitution may only be imposed if it is authorized by statute. </w:t>
      </w:r>
      <w:r w:rsidRPr="00D75F61">
        <w:rPr>
          <w:i/>
        </w:rPr>
        <w:t>See Commonwealth v. Barger</w:t>
      </w:r>
      <w:r>
        <w:t>,</w:t>
      </w:r>
      <w:r w:rsidRPr="00D75F61">
        <w:t xml:space="preserve"> 956 A.2d 458, 464</w:t>
      </w:r>
      <w:r w:rsidR="00ED6524">
        <w:t>-65</w:t>
      </w:r>
      <w:r w:rsidRPr="00D75F61">
        <w:t xml:space="preserve"> (Pa. Super. </w:t>
      </w:r>
      <w:r>
        <w:t xml:space="preserve">Ct. </w:t>
      </w:r>
      <w:r w:rsidRPr="00D75F61">
        <w:t>2008) (</w:t>
      </w:r>
      <w:proofErr w:type="spellStart"/>
      <w:r w:rsidRPr="00D75F61">
        <w:t>en</w:t>
      </w:r>
      <w:proofErr w:type="spellEnd"/>
      <w:r w:rsidRPr="00D75F61">
        <w:t xml:space="preserve"> banc)</w:t>
      </w:r>
      <w:r>
        <w:t xml:space="preserve">. In this case, </w:t>
      </w:r>
      <w:r w:rsidR="001C20E8">
        <w:t>The Court impose</w:t>
      </w:r>
      <w:r w:rsidR="00513626">
        <w:t>d</w:t>
      </w:r>
      <w:r w:rsidR="001C20E8">
        <w:t xml:space="preserve"> restitution </w:t>
      </w:r>
      <w:r w:rsidR="00513626">
        <w:t xml:space="preserve">under </w:t>
      </w:r>
      <w:r w:rsidR="001C20E8">
        <w:t xml:space="preserve">18 </w:t>
      </w:r>
      <w:proofErr w:type="spellStart"/>
      <w:r w:rsidR="001C20E8">
        <w:t>Pa.C.S</w:t>
      </w:r>
      <w:proofErr w:type="spellEnd"/>
      <w:r w:rsidR="001C20E8">
        <w:t xml:space="preserve">. § 1106. </w:t>
      </w:r>
      <w:r w:rsidR="006E50CC">
        <w:t>However, as the Pennsylvania Supreme Court and Superior Court have subsequently ruled, the version of Section 1106 in effect through 2018 did not authorize restitution for any cases in which the victim was a governmental or corporate entity.</w:t>
      </w:r>
      <w:r w:rsidR="00993930">
        <w:t xml:space="preserve"> In </w:t>
      </w:r>
      <w:r w:rsidR="00993930">
        <w:rPr>
          <w:i/>
        </w:rPr>
        <w:t xml:space="preserve">Commonwealth v. </w:t>
      </w:r>
      <w:proofErr w:type="spellStart"/>
      <w:r w:rsidR="00993930">
        <w:rPr>
          <w:i/>
        </w:rPr>
        <w:t>Veon</w:t>
      </w:r>
      <w:proofErr w:type="spellEnd"/>
      <w:r w:rsidR="00993930">
        <w:t>, 150 A.3d 435, 472 (Pa. 2016), the Supreme Court ruled that the definition of “victim” under Section 1106 “</w:t>
      </w:r>
      <w:r w:rsidR="00993930" w:rsidRPr="00993930">
        <w:t>unequivocally describes a human being, not a government agency</w:t>
      </w:r>
      <w:r w:rsidR="00993930">
        <w:t xml:space="preserve">.” </w:t>
      </w:r>
      <w:r w:rsidR="00DC3F9D">
        <w:t xml:space="preserve">The Superior Court then ruled in </w:t>
      </w:r>
      <w:r w:rsidR="00DC3F9D">
        <w:rPr>
          <w:i/>
        </w:rPr>
        <w:t>Commonwealth v. Hunt</w:t>
      </w:r>
      <w:r w:rsidR="00DC3F9D">
        <w:t>, 220 A.3d 582, 591 (Pa. Super. Ct. 2019)</w:t>
      </w:r>
      <w:r w:rsidR="00513626">
        <w:t>,</w:t>
      </w:r>
      <w:r w:rsidR="00DC3F9D">
        <w:t xml:space="preserve"> that the </w:t>
      </w:r>
      <w:r w:rsidR="00DC3F9D">
        <w:lastRenderedPageBreak/>
        <w:t>definition of victim “</w:t>
      </w:r>
      <w:r w:rsidR="00DC3F9D" w:rsidRPr="00DC3F9D">
        <w:t>does</w:t>
      </w:r>
      <w:r w:rsidR="00DC3F9D">
        <w:t xml:space="preserve"> not include corporate entities.”</w:t>
      </w:r>
      <w:r w:rsidR="006E50CC">
        <w:t xml:space="preserve"> Instead,</w:t>
      </w:r>
      <w:r w:rsidR="00F637D7">
        <w:t xml:space="preserve"> consistent with </w:t>
      </w:r>
      <w:proofErr w:type="spellStart"/>
      <w:r w:rsidR="00F637D7">
        <w:rPr>
          <w:i/>
        </w:rPr>
        <w:t>Veon</w:t>
      </w:r>
      <w:r w:rsidR="00F637D7">
        <w:t>’s</w:t>
      </w:r>
      <w:proofErr w:type="spellEnd"/>
      <w:r w:rsidR="00F637D7">
        <w:t xml:space="preserve"> reasoning,</w:t>
      </w:r>
      <w:r w:rsidR="006E50CC">
        <w:t xml:space="preserve"> restitution was only permitted for cases in which the victim was a human being.</w:t>
      </w:r>
      <w:r w:rsidR="004438C0">
        <w:rPr>
          <w:rStyle w:val="FootnoteReference"/>
        </w:rPr>
        <w:footnoteReference w:id="1"/>
      </w:r>
    </w:p>
    <w:p w14:paraId="0536BB03" w14:textId="3D21AE46" w:rsidR="00622B83" w:rsidRDefault="00622B83" w:rsidP="00CB12BC">
      <w:pPr>
        <w:pStyle w:val="Level1"/>
        <w:numPr>
          <w:ilvl w:val="0"/>
          <w:numId w:val="3"/>
        </w:numPr>
        <w:tabs>
          <w:tab w:val="left" w:pos="720"/>
        </w:tabs>
        <w:spacing w:line="480" w:lineRule="auto"/>
        <w:ind w:hanging="720"/>
      </w:pPr>
      <w:r>
        <w:t xml:space="preserve">In </w:t>
      </w:r>
      <w:r w:rsidR="00D026D0">
        <w:t xml:space="preserve">Act 145 of </w:t>
      </w:r>
      <w:r>
        <w:t>2018, the legislature amended Section 1106 to expand the scope of cases in which restitution could be imposed</w:t>
      </w:r>
      <w:r w:rsidR="00C5693D">
        <w:t>; for the first time, it permitted restitution for governmental and corporate victims</w:t>
      </w:r>
      <w:r>
        <w:t xml:space="preserve">. That </w:t>
      </w:r>
      <w:r w:rsidR="005D70D4">
        <w:t xml:space="preserve">amendment is not retroactive and has no impact on </w:t>
      </w:r>
      <w:r w:rsidR="00D2706D">
        <w:t>the case at bar</w:t>
      </w:r>
      <w:r w:rsidR="005D70D4">
        <w:t xml:space="preserve">. </w:t>
      </w:r>
      <w:r w:rsidR="006F29B7">
        <w:rPr>
          <w:i/>
        </w:rPr>
        <w:t>See Hunt</w:t>
      </w:r>
      <w:r w:rsidR="006F29B7">
        <w:t xml:space="preserve">, 220 A.3d at 586 (holding that the 2018 amendments to Section 1106 are not retroactive). </w:t>
      </w:r>
    </w:p>
    <w:p w14:paraId="75BD6975" w14:textId="2704DD28" w:rsidR="00336418" w:rsidRDefault="00094FD2" w:rsidP="000A2C93">
      <w:pPr>
        <w:pStyle w:val="Level1"/>
        <w:numPr>
          <w:ilvl w:val="0"/>
          <w:numId w:val="3"/>
        </w:numPr>
        <w:tabs>
          <w:tab w:val="left" w:pos="720"/>
        </w:tabs>
        <w:spacing w:line="480" w:lineRule="auto"/>
        <w:ind w:hanging="720"/>
      </w:pPr>
      <w:r>
        <w:t xml:space="preserve">The result is that Mr. </w:t>
      </w:r>
      <w:r w:rsidR="00B168FF" w:rsidRPr="00B168FF">
        <w:rPr>
          <w:color w:val="FF0000"/>
        </w:rPr>
        <w:t>Doe</w:t>
      </w:r>
      <w:r>
        <w:t xml:space="preserve"> cannot be compelled to pay restitution to these governmental and corporate entities. </w:t>
      </w:r>
      <w:r w:rsidR="00471FE3">
        <w:t xml:space="preserve">This Court </w:t>
      </w:r>
      <w:r w:rsidR="00F07918">
        <w:t>can and should alter the restitution order accordingly because it has</w:t>
      </w:r>
      <w:r w:rsidR="00471FE3">
        <w:t xml:space="preserve"> ongoing jurisdiction to </w:t>
      </w:r>
      <w:r w:rsidR="0042245A">
        <w:t>make such alterations or amendments</w:t>
      </w:r>
      <w:r w:rsidR="00471FE3">
        <w:t xml:space="preserve">. </w:t>
      </w:r>
      <w:r w:rsidR="00336418">
        <w:t xml:space="preserve">The </w:t>
      </w:r>
      <w:r w:rsidR="000A2C93">
        <w:t>Supreme Court</w:t>
      </w:r>
      <w:r w:rsidR="00336418">
        <w:t xml:space="preserve"> has been clear that Section 1106(c)(3)</w:t>
      </w:r>
      <w:r w:rsidR="000A2C93">
        <w:t xml:space="preserve"> “</w:t>
      </w:r>
      <w:r w:rsidR="000A2C93" w:rsidRPr="000A2C93">
        <w:t xml:space="preserve">provides a sentencing court may modify restitution orders at </w:t>
      </w:r>
      <w:r w:rsidR="000A2C93" w:rsidRPr="000A2C93">
        <w:rPr>
          <w:i/>
        </w:rPr>
        <w:t>any time</w:t>
      </w:r>
      <w:r w:rsidR="000A2C93" w:rsidRPr="000A2C93">
        <w:t xml:space="preserve"> if the court states its reasons as a matter of record.</w:t>
      </w:r>
      <w:r w:rsidR="000A2C93">
        <w:t xml:space="preserve">” </w:t>
      </w:r>
      <w:r w:rsidR="000A2C93">
        <w:rPr>
          <w:i/>
        </w:rPr>
        <w:t>Commonwealth v. Dietrich</w:t>
      </w:r>
      <w:r w:rsidR="000A2C93">
        <w:t>, 970 A.2d 1131, 1135 (Pa. 2009).</w:t>
      </w:r>
      <w:r w:rsidR="00336418">
        <w:t xml:space="preserve"> That provision provides: </w:t>
      </w:r>
    </w:p>
    <w:p w14:paraId="4AB61639" w14:textId="7E839B7F" w:rsidR="00336418" w:rsidRDefault="00336418" w:rsidP="00336418">
      <w:pPr>
        <w:pStyle w:val="Level1"/>
        <w:ind w:left="1440" w:right="720"/>
        <w:rPr>
          <w:b/>
        </w:rPr>
      </w:pPr>
      <w:r w:rsidRPr="00336418">
        <w:t xml:space="preserve">(3)  </w:t>
      </w:r>
      <w:r w:rsidRPr="00336418">
        <w:rPr>
          <w:b/>
        </w:rPr>
        <w:t>The court may, at any time</w:t>
      </w:r>
      <w:r w:rsidRPr="00336418">
        <w:t xml:space="preserve"> or upon the recommendation of the district attorney that is based on information received from the victim and the probation section of the county or other agent designated by the county commissioners of the county with the approval of the president judge to collect restitution, </w:t>
      </w:r>
      <w:r w:rsidRPr="00336418">
        <w:rPr>
          <w:b/>
        </w:rPr>
        <w:t>alter or amend any order of restitution made pursuant to paragraph (2), provided, however, that the court states its reasons and conclusions as a matter of record for any change or amendment to any previous order.</w:t>
      </w:r>
    </w:p>
    <w:p w14:paraId="532A436E" w14:textId="77777777" w:rsidR="00555C47" w:rsidRPr="00336418" w:rsidRDefault="00555C47" w:rsidP="00336418">
      <w:pPr>
        <w:pStyle w:val="Level1"/>
        <w:ind w:left="1440" w:right="720"/>
        <w:rPr>
          <w:b/>
        </w:rPr>
      </w:pPr>
    </w:p>
    <w:p w14:paraId="77B32D2C" w14:textId="2C95DD60" w:rsidR="006E50CC" w:rsidRPr="00DC5381" w:rsidRDefault="0041153B" w:rsidP="0041153B">
      <w:pPr>
        <w:pStyle w:val="Level1"/>
        <w:tabs>
          <w:tab w:val="left" w:pos="720"/>
        </w:tabs>
        <w:spacing w:line="480" w:lineRule="auto"/>
      </w:pPr>
      <w:r>
        <w:t xml:space="preserve">18 </w:t>
      </w:r>
      <w:proofErr w:type="spellStart"/>
      <w:r>
        <w:t>Pa.C.S</w:t>
      </w:r>
      <w:proofErr w:type="spellEnd"/>
      <w:r>
        <w:t>. § 1106(c)(3)</w:t>
      </w:r>
      <w:r w:rsidR="00740FC9">
        <w:t xml:space="preserve"> (emphasis added)</w:t>
      </w:r>
      <w:r>
        <w:t xml:space="preserve">. The Supreme Court has referred to this </w:t>
      </w:r>
      <w:r>
        <w:lastRenderedPageBreak/>
        <w:t>provision as indicating “</w:t>
      </w:r>
      <w:r w:rsidRPr="0041153B">
        <w:t>a legislative intent that courts have jurisdiction to modify restitution orders at any time withou</w:t>
      </w:r>
      <w:r>
        <w:t xml:space="preserve">t </w:t>
      </w:r>
      <w:r w:rsidRPr="0041153B">
        <w:t>regard to when information should have been present for consideration</w:t>
      </w:r>
      <w:r w:rsidR="006E5F01">
        <w:t xml:space="preserve">.” </w:t>
      </w:r>
      <w:r w:rsidR="006E5F01">
        <w:rPr>
          <w:i/>
        </w:rPr>
        <w:t>Dietrich</w:t>
      </w:r>
      <w:r w:rsidR="006E5F01">
        <w:t xml:space="preserve">, 970 A.2d at 1135. </w:t>
      </w:r>
      <w:r w:rsidR="00DC5381">
        <w:rPr>
          <w:i/>
        </w:rPr>
        <w:t>See also Commonwealth v. Solomon</w:t>
      </w:r>
      <w:r w:rsidR="00DC5381">
        <w:t>, 25 A.3d 380, 389</w:t>
      </w:r>
      <w:r w:rsidR="006B7C2D">
        <w:t>-90</w:t>
      </w:r>
      <w:r w:rsidR="00DC5381">
        <w:t xml:space="preserve"> (Pa. Super. Ct. 2011) (reiterating that courts may alter a restitution order at any time “provided that it states its reasons for any modification on the record”).</w:t>
      </w:r>
    </w:p>
    <w:p w14:paraId="52ECCCD0" w14:textId="11E5D23D" w:rsidR="007970EA" w:rsidRDefault="00276EF4" w:rsidP="009159FC">
      <w:pPr>
        <w:pStyle w:val="Level1"/>
        <w:numPr>
          <w:ilvl w:val="0"/>
          <w:numId w:val="3"/>
        </w:numPr>
        <w:tabs>
          <w:tab w:val="left" w:pos="720"/>
        </w:tabs>
        <w:spacing w:line="480" w:lineRule="auto"/>
        <w:ind w:hanging="720"/>
      </w:pPr>
      <w:r>
        <w:t>That there is no time bar on asking a court to act under Section 1106(c)(3) has long been recognized by the Superior Court</w:t>
      </w:r>
      <w:r w:rsidR="007970EA">
        <w:t>, which</w:t>
      </w:r>
      <w:r w:rsidR="005839AB">
        <w:t xml:space="preserve"> held</w:t>
      </w:r>
      <w:r w:rsidR="007970EA">
        <w:t xml:space="preserve"> </w:t>
      </w:r>
      <w:r>
        <w:t>that</w:t>
      </w:r>
      <w:r w:rsidR="008078A4">
        <w:t xml:space="preserve"> a defendant</w:t>
      </w:r>
      <w:r w:rsidR="007970EA">
        <w:t>:</w:t>
      </w:r>
    </w:p>
    <w:p w14:paraId="62B9BF6D" w14:textId="38BF380A" w:rsidR="007970EA" w:rsidRDefault="00276EF4" w:rsidP="00F2479B">
      <w:pPr>
        <w:pStyle w:val="Level1"/>
        <w:tabs>
          <w:tab w:val="left" w:pos="720"/>
        </w:tabs>
        <w:ind w:left="1440" w:right="720"/>
        <w:jc w:val="both"/>
      </w:pPr>
      <w:r>
        <w:t>“</w:t>
      </w:r>
      <w:proofErr w:type="gramStart"/>
      <w:r w:rsidRPr="00276EF4">
        <w:t>is</w:t>
      </w:r>
      <w:proofErr w:type="gramEnd"/>
      <w:r w:rsidRPr="00276EF4">
        <w:t xml:space="preserve"> entitled to seek a modification or amendment of the restitution Order at any time directly from the trial court</w:t>
      </w:r>
      <w:r>
        <w:t xml:space="preserve"> . . . </w:t>
      </w:r>
      <w:r w:rsidRPr="00276EF4">
        <w:t xml:space="preserve">Since the statute provides that a trial court may amend or alter a restitution order at any time, </w:t>
      </w:r>
      <w:r>
        <w:t>[the defendant]</w:t>
      </w:r>
      <w:r w:rsidRPr="00276EF4">
        <w:t xml:space="preserve"> would not be time-barred from filing an appropriate motion with the trial court to seek the relief that he is requesting.</w:t>
      </w:r>
      <w:r>
        <w:t xml:space="preserve">” </w:t>
      </w:r>
    </w:p>
    <w:p w14:paraId="2BD349D6" w14:textId="77777777" w:rsidR="007970EA" w:rsidRDefault="007970EA" w:rsidP="005F7B03">
      <w:pPr>
        <w:pStyle w:val="Level1"/>
        <w:tabs>
          <w:tab w:val="left" w:pos="720"/>
        </w:tabs>
        <w:ind w:left="1440" w:right="720"/>
        <w:jc w:val="both"/>
      </w:pPr>
    </w:p>
    <w:p w14:paraId="710594CF" w14:textId="1AD5B539" w:rsidR="00276EF4" w:rsidRDefault="007970EA" w:rsidP="005F7B03">
      <w:pPr>
        <w:pStyle w:val="Level1"/>
        <w:tabs>
          <w:tab w:val="left" w:pos="720"/>
        </w:tabs>
        <w:spacing w:line="480" w:lineRule="auto"/>
      </w:pPr>
      <w:r>
        <w:rPr>
          <w:i/>
        </w:rPr>
        <w:t xml:space="preserve">Commonwealth v. </w:t>
      </w:r>
      <w:proofErr w:type="spellStart"/>
      <w:r>
        <w:rPr>
          <w:i/>
        </w:rPr>
        <w:t>Mitsdarfer</w:t>
      </w:r>
      <w:proofErr w:type="spellEnd"/>
      <w:r>
        <w:t xml:space="preserve">, 837 A.2d 1203, 1205 (Pa. Super. Ct. 2003). </w:t>
      </w:r>
      <w:r w:rsidR="003B0C96">
        <w:rPr>
          <w:i/>
        </w:rPr>
        <w:t xml:space="preserve">See also Commonwealth v. </w:t>
      </w:r>
      <w:proofErr w:type="spellStart"/>
      <w:r w:rsidR="009159FC">
        <w:rPr>
          <w:i/>
        </w:rPr>
        <w:t>Stradley</w:t>
      </w:r>
      <w:proofErr w:type="spellEnd"/>
      <w:r w:rsidR="003B0C96">
        <w:t xml:space="preserve">, </w:t>
      </w:r>
      <w:r w:rsidR="009159FC">
        <w:t>50 A.3d 769, 77</w:t>
      </w:r>
      <w:r>
        <w:t>2</w:t>
      </w:r>
      <w:r w:rsidR="003B0C96">
        <w:t xml:space="preserve"> (Pa. Super. Ct. </w:t>
      </w:r>
      <w:r w:rsidR="009159FC">
        <w:t>2012</w:t>
      </w:r>
      <w:r w:rsidR="003B0C96">
        <w:t xml:space="preserve">) (Mundy, J.) (relying on </w:t>
      </w:r>
      <w:proofErr w:type="spellStart"/>
      <w:r w:rsidR="003B0C96">
        <w:rPr>
          <w:i/>
        </w:rPr>
        <w:t>Mitsdarfer</w:t>
      </w:r>
      <w:proofErr w:type="spellEnd"/>
      <w:r w:rsidR="003B0C96">
        <w:t xml:space="preserve"> and</w:t>
      </w:r>
      <w:r w:rsidR="009159FC">
        <w:t xml:space="preserve"> concluding that “</w:t>
      </w:r>
      <w:r w:rsidR="009159FC" w:rsidRPr="009159FC">
        <w:t>the trial court erred in finding Appellant's motion to vacate restitution waived on the ground of untimeliness</w:t>
      </w:r>
      <w:r w:rsidR="009159FC">
        <w:t>”</w:t>
      </w:r>
      <w:r w:rsidR="003B0C96">
        <w:t xml:space="preserve">). </w:t>
      </w:r>
    </w:p>
    <w:p w14:paraId="60978B35" w14:textId="16D85B78" w:rsidR="00964532" w:rsidRDefault="003E36E5" w:rsidP="009067B1">
      <w:pPr>
        <w:pStyle w:val="Level1"/>
        <w:numPr>
          <w:ilvl w:val="0"/>
          <w:numId w:val="3"/>
        </w:numPr>
        <w:tabs>
          <w:tab w:val="left" w:pos="720"/>
        </w:tabs>
        <w:spacing w:line="480" w:lineRule="auto"/>
        <w:ind w:hanging="720"/>
      </w:pPr>
      <w:r>
        <w:t>The Superior Court has repeatedly reaffirmed that</w:t>
      </w:r>
      <w:r w:rsidR="00964532">
        <w:t xml:space="preserve"> that trial courts have jurisdiction under Section 1106(c)(3) to correct restitution orders that imposed an unlawful form of restitution.</w:t>
      </w:r>
      <w:r>
        <w:t xml:space="preserve"> </w:t>
      </w:r>
      <w:r>
        <w:rPr>
          <w:i/>
          <w:iCs/>
        </w:rPr>
        <w:t xml:space="preserve">See Clark v. </w:t>
      </w:r>
      <w:proofErr w:type="spellStart"/>
      <w:r>
        <w:rPr>
          <w:i/>
          <w:iCs/>
        </w:rPr>
        <w:t>Peugh</w:t>
      </w:r>
      <w:proofErr w:type="spellEnd"/>
      <w:r>
        <w:t>, 257 A.3d 1260, 1269 (Pa. Super. Ct. 2021) (“</w:t>
      </w:r>
      <w:r w:rsidRPr="003E36E5">
        <w:t xml:space="preserve">Significantly, Section 1106 provides that a motion to modify the restitution order may be filed in the sentencing court </w:t>
      </w:r>
      <w:r>
        <w:t>‘</w:t>
      </w:r>
      <w:r w:rsidRPr="003E36E5">
        <w:t>at any time,</w:t>
      </w:r>
      <w:r>
        <w:t>’</w:t>
      </w:r>
      <w:r w:rsidRPr="003E36E5">
        <w:t xml:space="preserve"> and the motion therefore may be filed after the expiration of the period for a direct appeal.</w:t>
      </w:r>
      <w:r>
        <w:t>”).</w:t>
      </w:r>
      <w:r w:rsidR="00964532">
        <w:t xml:space="preserve"> In </w:t>
      </w:r>
      <w:r w:rsidR="00964532">
        <w:rPr>
          <w:i/>
        </w:rPr>
        <w:t>Commonw</w:t>
      </w:r>
      <w:r w:rsidR="00F2479B">
        <w:rPr>
          <w:i/>
        </w:rPr>
        <w:t>e</w:t>
      </w:r>
      <w:r w:rsidR="00964532">
        <w:rPr>
          <w:i/>
        </w:rPr>
        <w:t xml:space="preserve">alth v. </w:t>
      </w:r>
      <w:proofErr w:type="spellStart"/>
      <w:r w:rsidR="00964532">
        <w:rPr>
          <w:i/>
        </w:rPr>
        <w:t>Fetterolf</w:t>
      </w:r>
      <w:proofErr w:type="spellEnd"/>
      <w:r w:rsidR="00964532">
        <w:t xml:space="preserve">, </w:t>
      </w:r>
      <w:r w:rsidR="00964532" w:rsidRPr="00964532">
        <w:t>349 MDA 2021</w:t>
      </w:r>
      <w:r w:rsidR="00964532">
        <w:t xml:space="preserve">, </w:t>
      </w:r>
      <w:r w:rsidR="00964532" w:rsidRPr="00964532">
        <w:t>2021 WL 5756401</w:t>
      </w:r>
      <w:r w:rsidR="00964532">
        <w:t xml:space="preserve"> (Pa. Super. Ct. Dec. 3, 2021)</w:t>
      </w:r>
      <w:r w:rsidR="00742574">
        <w:t xml:space="preserve"> (unpublished)</w:t>
      </w:r>
      <w:r w:rsidR="00964532">
        <w:t xml:space="preserve">, </w:t>
      </w:r>
      <w:r w:rsidR="009067B1">
        <w:t xml:space="preserve">the court noted that although the defendant did not petition the court to remove illegal restitution </w:t>
      </w:r>
      <w:r w:rsidR="009067B1">
        <w:lastRenderedPageBreak/>
        <w:t>until two years after sentencing, “</w:t>
      </w:r>
      <w:r w:rsidR="009067B1" w:rsidRPr="009067B1">
        <w:t>we conclude that Section 1106(c)(3) clearly provides the trial court with jurisdiction to review Appellant's motion</w:t>
      </w:r>
      <w:r w:rsidR="009067B1">
        <w:t>” and remanded for the court to consider whether restitution order should</w:t>
      </w:r>
      <w:r w:rsidR="001719F8">
        <w:t xml:space="preserve"> be altered.</w:t>
      </w:r>
      <w:r w:rsidR="00F2479B">
        <w:t xml:space="preserve"> </w:t>
      </w:r>
      <w:r w:rsidR="00F2479B">
        <w:rPr>
          <w:i/>
          <w:iCs/>
        </w:rPr>
        <w:t>Id.</w:t>
      </w:r>
      <w:r w:rsidR="00F2479B">
        <w:t xml:space="preserve"> at *3.</w:t>
      </w:r>
    </w:p>
    <w:p w14:paraId="35115F7C" w14:textId="6010F14C" w:rsidR="006E50CC" w:rsidRDefault="00AC3704" w:rsidP="00AC3704">
      <w:pPr>
        <w:pStyle w:val="Level1"/>
        <w:numPr>
          <w:ilvl w:val="0"/>
          <w:numId w:val="3"/>
        </w:numPr>
        <w:tabs>
          <w:tab w:val="left" w:pos="720"/>
        </w:tabs>
        <w:spacing w:line="480" w:lineRule="auto"/>
        <w:ind w:hanging="720"/>
      </w:pPr>
      <w:r>
        <w:t xml:space="preserve">The result from all of this is that Mr. </w:t>
      </w:r>
      <w:r w:rsidR="00B168FF" w:rsidRPr="00B168FF">
        <w:rPr>
          <w:color w:val="FF0000"/>
        </w:rPr>
        <w:t>Doe</w:t>
      </w:r>
      <w:r w:rsidR="00B168FF">
        <w:t xml:space="preserve"> </w:t>
      </w:r>
      <w:r>
        <w:t xml:space="preserve">is compelled to pay restitution that, under binding Supreme Court and Superior Court precedent, he cannot be required to pay. The legislature has expressly and intentionally left this Court with ongoing jurisdiction to alter or amend the restitution order. This Court should exercise that jurisdiction and ensure that the restitution order is lawful by removing the requirement that Mr. </w:t>
      </w:r>
      <w:r w:rsidR="00B168FF" w:rsidRPr="00B168FF">
        <w:rPr>
          <w:color w:val="FF0000"/>
        </w:rPr>
        <w:t>Doe</w:t>
      </w:r>
      <w:r>
        <w:t xml:space="preserve"> pay restitution to these entities. </w:t>
      </w:r>
    </w:p>
    <w:p w14:paraId="455B52F6" w14:textId="73501A8E" w:rsidR="009C4786" w:rsidRPr="00A94235" w:rsidRDefault="00380766" w:rsidP="00380766">
      <w:pPr>
        <w:pStyle w:val="Level1"/>
        <w:tabs>
          <w:tab w:val="left" w:pos="720"/>
        </w:tabs>
        <w:spacing w:line="480" w:lineRule="auto"/>
        <w:ind w:left="0"/>
      </w:pPr>
      <w:r w:rsidRPr="00A94235">
        <w:t xml:space="preserve">WHEREFORE Mr. </w:t>
      </w:r>
      <w:r w:rsidR="00B168FF" w:rsidRPr="00B168FF">
        <w:rPr>
          <w:color w:val="FF0000"/>
        </w:rPr>
        <w:t>Doe</w:t>
      </w:r>
      <w:r w:rsidRPr="00A94235">
        <w:t xml:space="preserve"> </w:t>
      </w:r>
      <w:r w:rsidR="00327870">
        <w:t xml:space="preserve">respectfully requests that this Court alter or amend the order of restitution </w:t>
      </w:r>
      <w:r w:rsidR="00FA131C">
        <w:t>and remove the requirement that he pay restitution to the governmental and corporate entities</w:t>
      </w:r>
      <w:r w:rsidRPr="00A94235">
        <w:t>.</w:t>
      </w:r>
    </w:p>
    <w:p w14:paraId="78FBEC44" w14:textId="77777777" w:rsidR="00D07998" w:rsidRPr="00A94235" w:rsidRDefault="00D07998" w:rsidP="00D07998">
      <w:pPr>
        <w:spacing w:line="480" w:lineRule="auto"/>
        <w:rPr>
          <w:sz w:val="24"/>
          <w:szCs w:val="24"/>
        </w:rPr>
      </w:pPr>
      <w:bookmarkStart w:id="1" w:name="OLE_LINK1"/>
      <w:r w:rsidRPr="00A94235">
        <w:rPr>
          <w:sz w:val="24"/>
          <w:szCs w:val="24"/>
        </w:rPr>
        <w:tab/>
      </w:r>
      <w:r w:rsidRPr="00A94235">
        <w:rPr>
          <w:sz w:val="24"/>
          <w:szCs w:val="24"/>
        </w:rPr>
        <w:tab/>
      </w:r>
      <w:r w:rsidRPr="00A94235">
        <w:rPr>
          <w:sz w:val="24"/>
          <w:szCs w:val="24"/>
        </w:rPr>
        <w:tab/>
      </w:r>
      <w:r w:rsidRPr="00A94235">
        <w:rPr>
          <w:sz w:val="24"/>
          <w:szCs w:val="24"/>
        </w:rPr>
        <w:tab/>
      </w:r>
      <w:r w:rsidRPr="00A94235">
        <w:rPr>
          <w:sz w:val="24"/>
          <w:szCs w:val="24"/>
        </w:rPr>
        <w:tab/>
      </w:r>
      <w:r w:rsidRPr="00A94235">
        <w:rPr>
          <w:sz w:val="24"/>
          <w:szCs w:val="24"/>
        </w:rPr>
        <w:tab/>
        <w:t>BY THE COURT:</w:t>
      </w:r>
    </w:p>
    <w:p w14:paraId="73A3F37F" w14:textId="77777777" w:rsidR="00D07998" w:rsidRPr="00A94235" w:rsidRDefault="00D07998" w:rsidP="00D07998">
      <w:pPr>
        <w:rPr>
          <w:sz w:val="24"/>
          <w:szCs w:val="24"/>
        </w:rPr>
      </w:pPr>
      <w:r w:rsidRPr="00A94235">
        <w:rPr>
          <w:sz w:val="24"/>
          <w:szCs w:val="24"/>
        </w:rPr>
        <w:tab/>
      </w:r>
      <w:r w:rsidRPr="00A94235">
        <w:rPr>
          <w:sz w:val="24"/>
          <w:szCs w:val="24"/>
        </w:rPr>
        <w:tab/>
      </w:r>
      <w:r w:rsidRPr="00A94235">
        <w:rPr>
          <w:sz w:val="24"/>
          <w:szCs w:val="24"/>
        </w:rPr>
        <w:tab/>
      </w:r>
      <w:r w:rsidRPr="00A94235">
        <w:rPr>
          <w:sz w:val="24"/>
          <w:szCs w:val="24"/>
        </w:rPr>
        <w:tab/>
      </w:r>
      <w:r w:rsidRPr="00A94235">
        <w:rPr>
          <w:sz w:val="24"/>
          <w:szCs w:val="24"/>
        </w:rPr>
        <w:tab/>
      </w:r>
      <w:r w:rsidRPr="00A94235">
        <w:rPr>
          <w:sz w:val="24"/>
          <w:szCs w:val="24"/>
        </w:rPr>
        <w:tab/>
      </w:r>
      <w:r w:rsidRPr="00A94235">
        <w:rPr>
          <w:sz w:val="24"/>
          <w:szCs w:val="24"/>
        </w:rPr>
        <w:tab/>
      </w:r>
      <w:r w:rsidRPr="00A94235">
        <w:rPr>
          <w:sz w:val="24"/>
          <w:szCs w:val="24"/>
        </w:rPr>
        <w:tab/>
      </w:r>
      <w:r w:rsidRPr="00A94235">
        <w:rPr>
          <w:sz w:val="24"/>
          <w:szCs w:val="24"/>
        </w:rPr>
        <w:tab/>
      </w:r>
    </w:p>
    <w:p w14:paraId="73C146A5" w14:textId="77777777" w:rsidR="00D07998" w:rsidRPr="00A94235" w:rsidRDefault="00D07998" w:rsidP="00D07998">
      <w:pPr>
        <w:numPr>
          <w:ilvl w:val="12"/>
          <w:numId w:val="0"/>
        </w:numPr>
        <w:ind w:left="4320"/>
        <w:rPr>
          <w:sz w:val="24"/>
          <w:szCs w:val="24"/>
        </w:rPr>
      </w:pPr>
      <w:r w:rsidRPr="00A94235">
        <w:rPr>
          <w:sz w:val="24"/>
          <w:szCs w:val="24"/>
        </w:rPr>
        <w:t>______________________________________</w:t>
      </w:r>
    </w:p>
    <w:p w14:paraId="58C01D5A" w14:textId="77777777" w:rsidR="00D07998" w:rsidRPr="00A94235" w:rsidRDefault="00D07998" w:rsidP="00D07998">
      <w:pPr>
        <w:numPr>
          <w:ilvl w:val="12"/>
          <w:numId w:val="0"/>
        </w:numPr>
        <w:ind w:left="3600" w:firstLine="720"/>
        <w:rPr>
          <w:sz w:val="24"/>
          <w:szCs w:val="24"/>
        </w:rPr>
      </w:pPr>
      <w:r w:rsidRPr="00A94235">
        <w:rPr>
          <w:sz w:val="24"/>
          <w:szCs w:val="24"/>
        </w:rPr>
        <w:t>Judge, Court of Common Pleas</w:t>
      </w:r>
    </w:p>
    <w:bookmarkEnd w:id="1"/>
    <w:p w14:paraId="3F7BE3CF" w14:textId="1A9A80FA" w:rsidR="00A37D55" w:rsidRPr="00A94235" w:rsidRDefault="00A37D55" w:rsidP="00235CF8">
      <w:pPr>
        <w:widowControl/>
        <w:autoSpaceDE/>
        <w:autoSpaceDN/>
        <w:adjustRightInd/>
        <w:spacing w:after="160" w:line="259" w:lineRule="auto"/>
        <w:rPr>
          <w:sz w:val="24"/>
          <w:szCs w:val="24"/>
        </w:rPr>
      </w:pPr>
    </w:p>
    <w:sectPr w:rsidR="00A37D55" w:rsidRPr="00A94235" w:rsidSect="00FD4473">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A8F2F1B" w14:textId="77777777" w:rsidR="00C274A0" w:rsidRDefault="00C274A0">
      <w:pPr>
        <w:pStyle w:val="CommentText"/>
      </w:pPr>
      <w:r>
        <w:rPr>
          <w:rStyle w:val="CommentReference"/>
        </w:rPr>
        <w:annotationRef/>
      </w:r>
      <w:r>
        <w:t>This motion is specifically written to address a situation where a defendant owes restitution to a corporate or government victim for an offense committed before October 2018.</w:t>
      </w:r>
    </w:p>
    <w:p w14:paraId="75B5EF68" w14:textId="77777777" w:rsidR="00C274A0" w:rsidRDefault="00C274A0">
      <w:pPr>
        <w:pStyle w:val="CommentText"/>
      </w:pPr>
    </w:p>
    <w:p w14:paraId="41463322" w14:textId="7D2E3D00" w:rsidR="00C274A0" w:rsidRDefault="00C274A0">
      <w:pPr>
        <w:pStyle w:val="CommentText"/>
      </w:pPr>
      <w:r>
        <w:t xml:space="preserve">Still, the other legal arguments below – that the court has ongoing jurisdiction to modify restitution at any time – is applicable more generally to any situation where there is cause to ask the trial court to modify the amount of restitution.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633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63322" w16cid:durableId="26CEF1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EA3A" w14:textId="77777777" w:rsidR="00EA0A89" w:rsidRDefault="00EA0A89" w:rsidP="0019582F">
      <w:r>
        <w:separator/>
      </w:r>
    </w:p>
  </w:endnote>
  <w:endnote w:type="continuationSeparator" w:id="0">
    <w:p w14:paraId="60493C11" w14:textId="77777777" w:rsidR="00EA0A89" w:rsidRDefault="00EA0A89" w:rsidP="0019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633875"/>
      <w:docPartObj>
        <w:docPartGallery w:val="Page Numbers (Bottom of Page)"/>
        <w:docPartUnique/>
      </w:docPartObj>
    </w:sdtPr>
    <w:sdtEndPr>
      <w:rPr>
        <w:noProof/>
      </w:rPr>
    </w:sdtEndPr>
    <w:sdtContent>
      <w:p w14:paraId="5C7739A7" w14:textId="3D2F69C3" w:rsidR="005F7B03" w:rsidRDefault="005F7B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68687" w14:textId="77777777" w:rsidR="00FD4473" w:rsidRDefault="00FD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C346" w14:textId="77777777" w:rsidR="00EA0A89" w:rsidRDefault="00EA0A89" w:rsidP="0019582F">
      <w:r>
        <w:separator/>
      </w:r>
    </w:p>
  </w:footnote>
  <w:footnote w:type="continuationSeparator" w:id="0">
    <w:p w14:paraId="032C12F2" w14:textId="77777777" w:rsidR="00EA0A89" w:rsidRDefault="00EA0A89" w:rsidP="0019582F">
      <w:r>
        <w:continuationSeparator/>
      </w:r>
    </w:p>
  </w:footnote>
  <w:footnote w:id="1">
    <w:p w14:paraId="522E8943" w14:textId="39DBDB3F" w:rsidR="004438C0" w:rsidRPr="001A6AC9" w:rsidRDefault="004438C0">
      <w:pPr>
        <w:pStyle w:val="FootnoteText"/>
      </w:pPr>
      <w:r>
        <w:rPr>
          <w:rStyle w:val="FootnoteReference"/>
        </w:rPr>
        <w:footnoteRef/>
      </w:r>
      <w:r>
        <w:t xml:space="preserve"> While restitution to reimburse an insurance company has long been authorized by Section 1106, such restitution is only lawful if the insurance company “has compensated the victim.” </w:t>
      </w:r>
      <w:r>
        <w:rPr>
          <w:i/>
        </w:rPr>
        <w:t>Commonwealth v. Solomon</w:t>
      </w:r>
      <w:r>
        <w:t xml:space="preserve">, 25 A.3d 380, 390 (Pa. Super. Ct. 2011). Here, the victim reimbursed by the insurance company was a private corporation, which at the time did not fall under the statutory definition of victim. As such, the insurance company did not reimburse a statutory victim and thus cannot receive restitution under Section 1106. </w:t>
      </w:r>
      <w:r w:rsidR="001A6AC9">
        <w:rPr>
          <w:i/>
        </w:rPr>
        <w:t xml:space="preserve">See </w:t>
      </w:r>
      <w:proofErr w:type="spellStart"/>
      <w:r w:rsidR="001A6AC9">
        <w:rPr>
          <w:i/>
        </w:rPr>
        <w:t>Veon</w:t>
      </w:r>
      <w:proofErr w:type="spellEnd"/>
      <w:r w:rsidR="001A6AC9">
        <w:t xml:space="preserve">, 150 A.3d at 472-73 (explaining that in analogous circumstances, a government entity could receive restitution for reimbursement to a victim only if the victim fell within the statutory definition).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F64A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448D8"/>
    <w:multiLevelType w:val="hybridMultilevel"/>
    <w:tmpl w:val="E3A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4486E"/>
    <w:multiLevelType w:val="hybridMultilevel"/>
    <w:tmpl w:val="B8A66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934656">
    <w:abstractNumId w:val="2"/>
  </w:num>
  <w:num w:numId="2" w16cid:durableId="1519153497">
    <w:abstractNumId w:val="1"/>
  </w:num>
  <w:num w:numId="3" w16cid:durableId="939220922">
    <w:abstractNumId w:val="4"/>
  </w:num>
  <w:num w:numId="4" w16cid:durableId="1959945198">
    <w:abstractNumId w:val="6"/>
  </w:num>
  <w:num w:numId="5" w16cid:durableId="1443577347">
    <w:abstractNumId w:val="5"/>
  </w:num>
  <w:num w:numId="6" w16cid:durableId="1956865730">
    <w:abstractNumId w:val="7"/>
  </w:num>
  <w:num w:numId="7" w16cid:durableId="732889576">
    <w:abstractNumId w:val="0"/>
  </w:num>
  <w:num w:numId="8" w16cid:durableId="1622762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2F"/>
    <w:rsid w:val="00010049"/>
    <w:rsid w:val="00031799"/>
    <w:rsid w:val="000369B4"/>
    <w:rsid w:val="000612D5"/>
    <w:rsid w:val="0007172B"/>
    <w:rsid w:val="00094FD2"/>
    <w:rsid w:val="000A2C93"/>
    <w:rsid w:val="000A4495"/>
    <w:rsid w:val="000C386C"/>
    <w:rsid w:val="000C6852"/>
    <w:rsid w:val="000E4C52"/>
    <w:rsid w:val="000F4985"/>
    <w:rsid w:val="000F78AE"/>
    <w:rsid w:val="001011E1"/>
    <w:rsid w:val="00137279"/>
    <w:rsid w:val="0014239C"/>
    <w:rsid w:val="001461E6"/>
    <w:rsid w:val="00163939"/>
    <w:rsid w:val="001719F8"/>
    <w:rsid w:val="0019582F"/>
    <w:rsid w:val="001A6AC9"/>
    <w:rsid w:val="001C20E8"/>
    <w:rsid w:val="001C44FC"/>
    <w:rsid w:val="001C5154"/>
    <w:rsid w:val="001E1A01"/>
    <w:rsid w:val="001F1115"/>
    <w:rsid w:val="001F6BC1"/>
    <w:rsid w:val="00205314"/>
    <w:rsid w:val="002217F7"/>
    <w:rsid w:val="00235CF8"/>
    <w:rsid w:val="00244F31"/>
    <w:rsid w:val="00274263"/>
    <w:rsid w:val="00276EF4"/>
    <w:rsid w:val="002D46A4"/>
    <w:rsid w:val="002F537A"/>
    <w:rsid w:val="002F5AAF"/>
    <w:rsid w:val="00312C82"/>
    <w:rsid w:val="00327870"/>
    <w:rsid w:val="00336418"/>
    <w:rsid w:val="00347218"/>
    <w:rsid w:val="00352C24"/>
    <w:rsid w:val="00354276"/>
    <w:rsid w:val="00380766"/>
    <w:rsid w:val="00385645"/>
    <w:rsid w:val="00390578"/>
    <w:rsid w:val="0039520E"/>
    <w:rsid w:val="003A178A"/>
    <w:rsid w:val="003B0C96"/>
    <w:rsid w:val="003E36E5"/>
    <w:rsid w:val="00403667"/>
    <w:rsid w:val="00404D1F"/>
    <w:rsid w:val="00410C70"/>
    <w:rsid w:val="0041153B"/>
    <w:rsid w:val="004161C4"/>
    <w:rsid w:val="0042245A"/>
    <w:rsid w:val="004402BC"/>
    <w:rsid w:val="004438C0"/>
    <w:rsid w:val="00443B47"/>
    <w:rsid w:val="004529F2"/>
    <w:rsid w:val="0045333D"/>
    <w:rsid w:val="004610F3"/>
    <w:rsid w:val="00470063"/>
    <w:rsid w:val="00471FE3"/>
    <w:rsid w:val="00474BA5"/>
    <w:rsid w:val="004B0108"/>
    <w:rsid w:val="004B48F7"/>
    <w:rsid w:val="004E5BA0"/>
    <w:rsid w:val="004F5379"/>
    <w:rsid w:val="00513626"/>
    <w:rsid w:val="005223CB"/>
    <w:rsid w:val="00545E8A"/>
    <w:rsid w:val="005517C6"/>
    <w:rsid w:val="00555C47"/>
    <w:rsid w:val="005839AB"/>
    <w:rsid w:val="005C79C3"/>
    <w:rsid w:val="005D297E"/>
    <w:rsid w:val="005D70D4"/>
    <w:rsid w:val="005D7518"/>
    <w:rsid w:val="005F7B03"/>
    <w:rsid w:val="00622B83"/>
    <w:rsid w:val="00625EE2"/>
    <w:rsid w:val="006347BF"/>
    <w:rsid w:val="006378A3"/>
    <w:rsid w:val="00647615"/>
    <w:rsid w:val="00680480"/>
    <w:rsid w:val="00697572"/>
    <w:rsid w:val="006A029D"/>
    <w:rsid w:val="006B07E7"/>
    <w:rsid w:val="006B7C2D"/>
    <w:rsid w:val="006C236E"/>
    <w:rsid w:val="006C5E7A"/>
    <w:rsid w:val="006D07FE"/>
    <w:rsid w:val="006D14E3"/>
    <w:rsid w:val="006E0FF5"/>
    <w:rsid w:val="006E50CC"/>
    <w:rsid w:val="006E5F01"/>
    <w:rsid w:val="006E758B"/>
    <w:rsid w:val="006F29B7"/>
    <w:rsid w:val="00710FDD"/>
    <w:rsid w:val="00714A92"/>
    <w:rsid w:val="007250D1"/>
    <w:rsid w:val="00730DA7"/>
    <w:rsid w:val="0073511D"/>
    <w:rsid w:val="00740FC9"/>
    <w:rsid w:val="00742574"/>
    <w:rsid w:val="00776ED1"/>
    <w:rsid w:val="0078275E"/>
    <w:rsid w:val="0078767B"/>
    <w:rsid w:val="007907E3"/>
    <w:rsid w:val="007970EA"/>
    <w:rsid w:val="007A6DB7"/>
    <w:rsid w:val="007D4E71"/>
    <w:rsid w:val="007F6674"/>
    <w:rsid w:val="00801C7D"/>
    <w:rsid w:val="008078A4"/>
    <w:rsid w:val="00866375"/>
    <w:rsid w:val="0088277B"/>
    <w:rsid w:val="00885AAE"/>
    <w:rsid w:val="008B3B99"/>
    <w:rsid w:val="008E5E10"/>
    <w:rsid w:val="009067B1"/>
    <w:rsid w:val="009159FC"/>
    <w:rsid w:val="009205B4"/>
    <w:rsid w:val="00960877"/>
    <w:rsid w:val="00964532"/>
    <w:rsid w:val="00971881"/>
    <w:rsid w:val="00973052"/>
    <w:rsid w:val="00993930"/>
    <w:rsid w:val="009A04CC"/>
    <w:rsid w:val="009C4786"/>
    <w:rsid w:val="009D34E2"/>
    <w:rsid w:val="009E20B0"/>
    <w:rsid w:val="00A0280A"/>
    <w:rsid w:val="00A35626"/>
    <w:rsid w:val="00A37D55"/>
    <w:rsid w:val="00A41276"/>
    <w:rsid w:val="00A50492"/>
    <w:rsid w:val="00A70054"/>
    <w:rsid w:val="00A713DD"/>
    <w:rsid w:val="00A733FA"/>
    <w:rsid w:val="00A82B2D"/>
    <w:rsid w:val="00A94235"/>
    <w:rsid w:val="00A9703C"/>
    <w:rsid w:val="00AA0457"/>
    <w:rsid w:val="00AC3704"/>
    <w:rsid w:val="00AC7D48"/>
    <w:rsid w:val="00AD3067"/>
    <w:rsid w:val="00AD5953"/>
    <w:rsid w:val="00AF13C4"/>
    <w:rsid w:val="00B168FF"/>
    <w:rsid w:val="00B242EB"/>
    <w:rsid w:val="00B41B82"/>
    <w:rsid w:val="00B43132"/>
    <w:rsid w:val="00B45EBE"/>
    <w:rsid w:val="00B52FB4"/>
    <w:rsid w:val="00B53406"/>
    <w:rsid w:val="00B6629F"/>
    <w:rsid w:val="00B82557"/>
    <w:rsid w:val="00B975AA"/>
    <w:rsid w:val="00BA42AB"/>
    <w:rsid w:val="00BF3317"/>
    <w:rsid w:val="00BF5A1D"/>
    <w:rsid w:val="00C11027"/>
    <w:rsid w:val="00C2159B"/>
    <w:rsid w:val="00C261CB"/>
    <w:rsid w:val="00C26350"/>
    <w:rsid w:val="00C2715A"/>
    <w:rsid w:val="00C274A0"/>
    <w:rsid w:val="00C5693D"/>
    <w:rsid w:val="00C8450F"/>
    <w:rsid w:val="00C8739A"/>
    <w:rsid w:val="00CA103D"/>
    <w:rsid w:val="00CB08F2"/>
    <w:rsid w:val="00CB12BC"/>
    <w:rsid w:val="00D026D0"/>
    <w:rsid w:val="00D07998"/>
    <w:rsid w:val="00D13E32"/>
    <w:rsid w:val="00D2706D"/>
    <w:rsid w:val="00D32C55"/>
    <w:rsid w:val="00D422CA"/>
    <w:rsid w:val="00D504A6"/>
    <w:rsid w:val="00D518C0"/>
    <w:rsid w:val="00D51905"/>
    <w:rsid w:val="00D562E7"/>
    <w:rsid w:val="00D567E9"/>
    <w:rsid w:val="00D77667"/>
    <w:rsid w:val="00D80D2E"/>
    <w:rsid w:val="00D85018"/>
    <w:rsid w:val="00D8593E"/>
    <w:rsid w:val="00D87BFA"/>
    <w:rsid w:val="00D97903"/>
    <w:rsid w:val="00DC3F9D"/>
    <w:rsid w:val="00DC4239"/>
    <w:rsid w:val="00DC5381"/>
    <w:rsid w:val="00DD5FEE"/>
    <w:rsid w:val="00DE21C7"/>
    <w:rsid w:val="00DF7D00"/>
    <w:rsid w:val="00E06A92"/>
    <w:rsid w:val="00E1737F"/>
    <w:rsid w:val="00E21C14"/>
    <w:rsid w:val="00E23130"/>
    <w:rsid w:val="00E23BA1"/>
    <w:rsid w:val="00E55D0B"/>
    <w:rsid w:val="00E60595"/>
    <w:rsid w:val="00E72742"/>
    <w:rsid w:val="00E76230"/>
    <w:rsid w:val="00EA0A89"/>
    <w:rsid w:val="00EA2604"/>
    <w:rsid w:val="00EA65E4"/>
    <w:rsid w:val="00EC0F58"/>
    <w:rsid w:val="00ED6524"/>
    <w:rsid w:val="00EE08CD"/>
    <w:rsid w:val="00EE165C"/>
    <w:rsid w:val="00EF4BDE"/>
    <w:rsid w:val="00EF5AC6"/>
    <w:rsid w:val="00F046C5"/>
    <w:rsid w:val="00F07918"/>
    <w:rsid w:val="00F11A31"/>
    <w:rsid w:val="00F2479B"/>
    <w:rsid w:val="00F263A9"/>
    <w:rsid w:val="00F325CC"/>
    <w:rsid w:val="00F36B11"/>
    <w:rsid w:val="00F637D7"/>
    <w:rsid w:val="00F721F2"/>
    <w:rsid w:val="00F73985"/>
    <w:rsid w:val="00F81625"/>
    <w:rsid w:val="00F8752F"/>
    <w:rsid w:val="00F95DDC"/>
    <w:rsid w:val="00F97215"/>
    <w:rsid w:val="00FA131C"/>
    <w:rsid w:val="00FA2BC4"/>
    <w:rsid w:val="00FA6B7F"/>
    <w:rsid w:val="00FB062F"/>
    <w:rsid w:val="00FB7E94"/>
    <w:rsid w:val="00FD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2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98"/>
    <w:pPr>
      <w:ind w:left="720"/>
      <w:contextualSpacing/>
    </w:pPr>
  </w:style>
  <w:style w:type="character" w:styleId="Hyperlink">
    <w:name w:val="Hyperlink"/>
    <w:basedOn w:val="DefaultParagraphFont"/>
    <w:uiPriority w:val="99"/>
    <w:unhideWhenUsed/>
    <w:rsid w:val="00A37D55"/>
    <w:rPr>
      <w:color w:val="0563C1" w:themeColor="hyperlink"/>
      <w:u w:val="single"/>
    </w:rPr>
  </w:style>
  <w:style w:type="paragraph" w:customStyle="1" w:styleId="Level1">
    <w:name w:val="Level 1"/>
    <w:uiPriority w:val="99"/>
    <w:rsid w:val="006378A3"/>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19582F"/>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9582F"/>
    <w:rPr>
      <w:rFonts w:ascii="Times New Roman" w:hAnsi="Times New Roman"/>
      <w:sz w:val="20"/>
      <w:szCs w:val="20"/>
    </w:rPr>
  </w:style>
  <w:style w:type="character" w:styleId="FootnoteReference">
    <w:name w:val="footnote reference"/>
    <w:basedOn w:val="DefaultParagraphFont"/>
    <w:uiPriority w:val="99"/>
    <w:semiHidden/>
    <w:unhideWhenUsed/>
    <w:rsid w:val="0019582F"/>
    <w:rPr>
      <w:vertAlign w:val="superscript"/>
    </w:rPr>
  </w:style>
  <w:style w:type="character" w:customStyle="1" w:styleId="cohighlightpoints">
    <w:name w:val="co_highlightpoints"/>
    <w:basedOn w:val="DefaultParagraphFont"/>
    <w:rsid w:val="0019582F"/>
  </w:style>
  <w:style w:type="paragraph" w:styleId="Header">
    <w:name w:val="header"/>
    <w:basedOn w:val="Normal"/>
    <w:link w:val="HeaderChar"/>
    <w:uiPriority w:val="99"/>
    <w:unhideWhenUsed/>
    <w:rsid w:val="004B48F7"/>
    <w:pPr>
      <w:tabs>
        <w:tab w:val="center" w:pos="4680"/>
        <w:tab w:val="right" w:pos="9360"/>
      </w:tabs>
    </w:pPr>
  </w:style>
  <w:style w:type="character" w:customStyle="1" w:styleId="HeaderChar">
    <w:name w:val="Header Char"/>
    <w:basedOn w:val="DefaultParagraphFont"/>
    <w:link w:val="Header"/>
    <w:uiPriority w:val="99"/>
    <w:rsid w:val="004B48F7"/>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B48F7"/>
    <w:pPr>
      <w:tabs>
        <w:tab w:val="center" w:pos="4680"/>
        <w:tab w:val="right" w:pos="9360"/>
      </w:tabs>
    </w:pPr>
  </w:style>
  <w:style w:type="character" w:customStyle="1" w:styleId="FooterChar">
    <w:name w:val="Footer Char"/>
    <w:basedOn w:val="DefaultParagraphFont"/>
    <w:link w:val="Footer"/>
    <w:uiPriority w:val="99"/>
    <w:rsid w:val="004B48F7"/>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0E4C52"/>
    <w:rPr>
      <w:sz w:val="16"/>
      <w:szCs w:val="16"/>
    </w:rPr>
  </w:style>
  <w:style w:type="paragraph" w:styleId="CommentText">
    <w:name w:val="annotation text"/>
    <w:basedOn w:val="Normal"/>
    <w:link w:val="CommentTextChar"/>
    <w:uiPriority w:val="99"/>
    <w:semiHidden/>
    <w:unhideWhenUsed/>
    <w:rsid w:val="000E4C52"/>
  </w:style>
  <w:style w:type="character" w:customStyle="1" w:styleId="CommentTextChar">
    <w:name w:val="Comment Text Char"/>
    <w:basedOn w:val="DefaultParagraphFont"/>
    <w:link w:val="CommentText"/>
    <w:uiPriority w:val="99"/>
    <w:semiHidden/>
    <w:rsid w:val="000E4C5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C52"/>
    <w:rPr>
      <w:b/>
      <w:bCs/>
    </w:rPr>
  </w:style>
  <w:style w:type="character" w:customStyle="1" w:styleId="CommentSubjectChar">
    <w:name w:val="Comment Subject Char"/>
    <w:basedOn w:val="CommentTextChar"/>
    <w:link w:val="CommentSubject"/>
    <w:uiPriority w:val="99"/>
    <w:semiHidden/>
    <w:rsid w:val="000E4C5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0E4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8">
      <w:bodyDiv w:val="1"/>
      <w:marLeft w:val="0"/>
      <w:marRight w:val="0"/>
      <w:marTop w:val="0"/>
      <w:marBottom w:val="0"/>
      <w:divBdr>
        <w:top w:val="none" w:sz="0" w:space="0" w:color="auto"/>
        <w:left w:val="none" w:sz="0" w:space="0" w:color="auto"/>
        <w:bottom w:val="none" w:sz="0" w:space="0" w:color="auto"/>
        <w:right w:val="none" w:sz="0" w:space="0" w:color="auto"/>
      </w:divBdr>
    </w:div>
    <w:div w:id="735208525">
      <w:bodyDiv w:val="1"/>
      <w:marLeft w:val="0"/>
      <w:marRight w:val="0"/>
      <w:marTop w:val="0"/>
      <w:marBottom w:val="0"/>
      <w:divBdr>
        <w:top w:val="none" w:sz="0" w:space="0" w:color="auto"/>
        <w:left w:val="none" w:sz="0" w:space="0" w:color="auto"/>
        <w:bottom w:val="none" w:sz="0" w:space="0" w:color="auto"/>
        <w:right w:val="none" w:sz="0" w:space="0" w:color="auto"/>
      </w:divBdr>
    </w:div>
    <w:div w:id="755129332">
      <w:bodyDiv w:val="1"/>
      <w:marLeft w:val="0"/>
      <w:marRight w:val="0"/>
      <w:marTop w:val="0"/>
      <w:marBottom w:val="0"/>
      <w:divBdr>
        <w:top w:val="none" w:sz="0" w:space="0" w:color="auto"/>
        <w:left w:val="none" w:sz="0" w:space="0" w:color="auto"/>
        <w:bottom w:val="none" w:sz="0" w:space="0" w:color="auto"/>
        <w:right w:val="none" w:sz="0" w:space="0" w:color="auto"/>
      </w:divBdr>
      <w:divsChild>
        <w:div w:id="2101440227">
          <w:marLeft w:val="0"/>
          <w:marRight w:val="0"/>
          <w:marTop w:val="0"/>
          <w:marBottom w:val="0"/>
          <w:divBdr>
            <w:top w:val="none" w:sz="0" w:space="0" w:color="auto"/>
            <w:left w:val="none" w:sz="0" w:space="0" w:color="auto"/>
            <w:bottom w:val="none" w:sz="0" w:space="0" w:color="auto"/>
            <w:right w:val="none" w:sz="0" w:space="0" w:color="auto"/>
          </w:divBdr>
          <w:divsChild>
            <w:div w:id="1871453764">
              <w:marLeft w:val="0"/>
              <w:marRight w:val="0"/>
              <w:marTop w:val="0"/>
              <w:marBottom w:val="0"/>
              <w:divBdr>
                <w:top w:val="none" w:sz="0" w:space="0" w:color="auto"/>
                <w:left w:val="none" w:sz="0" w:space="0" w:color="auto"/>
                <w:bottom w:val="none" w:sz="0" w:space="0" w:color="auto"/>
                <w:right w:val="none" w:sz="0" w:space="0" w:color="auto"/>
              </w:divBdr>
            </w:div>
            <w:div w:id="446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67DF-0C2D-4639-9D90-2E23AC1F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2017-02-06T20:19:00Z</cp:lastPrinted>
  <dcterms:created xsi:type="dcterms:W3CDTF">2022-04-25T19:34:00Z</dcterms:created>
  <dcterms:modified xsi:type="dcterms:W3CDTF">2022-09-16T17:00:00Z</dcterms:modified>
</cp:coreProperties>
</file>